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PEYSED-PKT-06</w:t>
      </w:r>
    </w:p>
    <w:p>
      <w:pPr>
        <w:spacing w:after="160"/>
      </w:pPr>
      <w:r>
        <w:rPr>
          <w:rFonts w:ascii="Aptos Display" w:hAnsi="Aptos Display" w:eastAsia="Aptos Display"/>
          <w:b/>
          <w:color w:val="16211F"/>
          <w:sz w:val="50"/>
        </w:rPr>
        <w:t>Kurumsal Etik, Rekabet ve Uyum Belgeleri</w:t>
      </w:r>
    </w:p>
    <w:p>
      <w:pPr>
        <w:spacing w:after="360"/>
      </w:pPr>
      <w:r>
        <w:rPr>
          <w:rFonts w:ascii="Aptos" w:hAnsi="Aptos" w:eastAsia="Aptos"/>
          <w:color w:val="4D6765"/>
          <w:sz w:val="25"/>
        </w:rPr>
        <w:t>Dernek ve üye firmaların şeffaf, bağımsız ve sorumlu uygulamalarını destekleyen on metin.</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PEYSED organları, üye firmalar, yöneticiler, çalışanlar ve tedarikçiler</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Paket içeriği</w:t>
      </w:r>
    </w:p>
    <w:p>
      <w:pPr>
        <w:numPr>
          <w:ilvl w:val="0"/>
          <w:numId w:val="1"/>
        </w:numPr>
      </w:pPr>
      <w:r>
        <w:rPr>
          <w:rFonts w:ascii="Aptos" w:hAnsi="Aptos" w:eastAsia="Aptos"/>
          <w:color w:val="16211F"/>
          <w:sz w:val="22"/>
        </w:rPr>
        <w:t>PEYSED Mesleki Etik İlkeleri</w:t>
      </w:r>
    </w:p>
    <w:p>
      <w:pPr>
        <w:numPr>
          <w:ilvl w:val="0"/>
          <w:numId w:val="1"/>
        </w:numPr>
      </w:pPr>
      <w:r>
        <w:rPr>
          <w:rFonts w:ascii="Aptos" w:hAnsi="Aptos" w:eastAsia="Aptos"/>
          <w:color w:val="16211F"/>
          <w:sz w:val="22"/>
        </w:rPr>
        <w:t>Etik Fiyatlandırma ve Haksız Fiyat Kırma Rehberi</w:t>
      </w:r>
    </w:p>
    <w:p>
      <w:pPr>
        <w:numPr>
          <w:ilvl w:val="0"/>
          <w:numId w:val="1"/>
        </w:numPr>
      </w:pPr>
      <w:r>
        <w:rPr>
          <w:rFonts w:ascii="Aptos" w:hAnsi="Aptos" w:eastAsia="Aptos"/>
          <w:color w:val="16211F"/>
          <w:sz w:val="22"/>
        </w:rPr>
        <w:t>Rekabet Hukukuna Uyum Kılavuzu</w:t>
      </w:r>
    </w:p>
    <w:p>
      <w:pPr>
        <w:numPr>
          <w:ilvl w:val="0"/>
          <w:numId w:val="1"/>
        </w:numPr>
      </w:pPr>
      <w:r>
        <w:rPr>
          <w:rFonts w:ascii="Aptos" w:hAnsi="Aptos" w:eastAsia="Aptos"/>
          <w:color w:val="16211F"/>
          <w:sz w:val="22"/>
        </w:rPr>
        <w:t>Çıkar Çatışması Beyanı</w:t>
      </w:r>
    </w:p>
    <w:p>
      <w:pPr>
        <w:numPr>
          <w:ilvl w:val="0"/>
          <w:numId w:val="1"/>
        </w:numPr>
      </w:pPr>
      <w:r>
        <w:rPr>
          <w:rFonts w:ascii="Aptos" w:hAnsi="Aptos" w:eastAsia="Aptos"/>
          <w:color w:val="16211F"/>
          <w:sz w:val="22"/>
        </w:rPr>
        <w:t>Tedarikçi Etik Taahhütnamesi</w:t>
      </w:r>
    </w:p>
    <w:p>
      <w:pPr>
        <w:numPr>
          <w:ilvl w:val="0"/>
          <w:numId w:val="1"/>
        </w:numPr>
      </w:pPr>
      <w:r>
        <w:rPr>
          <w:rFonts w:ascii="Aptos" w:hAnsi="Aptos" w:eastAsia="Aptos"/>
          <w:color w:val="16211F"/>
          <w:sz w:val="22"/>
        </w:rPr>
        <w:t>Çevresel ve Sosyal Sorumluluk Taahhüdü</w:t>
      </w:r>
    </w:p>
    <w:p>
      <w:pPr>
        <w:numPr>
          <w:ilvl w:val="0"/>
          <w:numId w:val="1"/>
        </w:numPr>
      </w:pPr>
      <w:r>
        <w:rPr>
          <w:rFonts w:ascii="Aptos" w:hAnsi="Aptos" w:eastAsia="Aptos"/>
          <w:color w:val="16211F"/>
          <w:sz w:val="22"/>
        </w:rPr>
        <w:t>Müşteri Şikâyeti Değerlendirme Formu</w:t>
      </w:r>
    </w:p>
    <w:p>
      <w:pPr>
        <w:numPr>
          <w:ilvl w:val="0"/>
          <w:numId w:val="1"/>
        </w:numPr>
      </w:pPr>
      <w:r>
        <w:rPr>
          <w:rFonts w:ascii="Aptos" w:hAnsi="Aptos" w:eastAsia="Aptos"/>
          <w:color w:val="16211F"/>
          <w:sz w:val="22"/>
        </w:rPr>
        <w:t>Arabuluculuk Öncesi Uzlaşma Tutanağı</w:t>
      </w:r>
    </w:p>
    <w:p>
      <w:pPr>
        <w:numPr>
          <w:ilvl w:val="0"/>
          <w:numId w:val="1"/>
        </w:numPr>
      </w:pPr>
      <w:r>
        <w:rPr>
          <w:rFonts w:ascii="Aptos" w:hAnsi="Aptos" w:eastAsia="Aptos"/>
          <w:color w:val="16211F"/>
          <w:sz w:val="22"/>
        </w:rPr>
        <w:t>KVKK Çalışan ve Müşteri Aydınlatma Metni Kontrol Şablonu</w:t>
      </w:r>
    </w:p>
    <w:p>
      <w:pPr>
        <w:numPr>
          <w:ilvl w:val="0"/>
          <w:numId w:val="1"/>
        </w:numPr>
      </w:pPr>
      <w:r>
        <w:rPr>
          <w:rFonts w:ascii="Aptos" w:hAnsi="Aptos" w:eastAsia="Aptos"/>
          <w:color w:val="16211F"/>
          <w:sz w:val="22"/>
        </w:rPr>
        <w:t>Fotoğraf ve Proje Referansı Kullanım İzin Formu</w:t>
      </w:r>
    </w:p>
    <w:p>
      <w:pPr>
        <w:spacing w:before="80" w:after="40"/>
        <w:shd w:fill="F2F4F0"/>
        <w:pBdr>
          <w:left w:val="single" w:sz="18" w:space="8" w:color="96A984"/>
        </w:pBdr>
      </w:pPr>
      <w:r>
        <w:rPr>
          <w:rFonts w:ascii="Aptos" w:hAnsi="Aptos" w:eastAsia="Aptos"/>
          <w:b/>
          <w:color w:val="4D6765"/>
          <w:sz w:val="18"/>
        </w:rPr>
        <w:t>KURUMSAL KULLANIM</w:t>
      </w:r>
    </w:p>
    <w:p>
      <w:pPr>
        <w:spacing w:before="0" w:after="160"/>
        <w:shd w:fill="F2F4F0"/>
        <w:pBdr>
          <w:left w:val="single" w:sz="18" w:space="8" w:color="96A984"/>
        </w:pBdr>
      </w:pPr>
      <w:r>
        <w:rPr>
          <w:rFonts w:ascii="Aptos" w:hAnsi="Aptos" w:eastAsia="Aptos"/>
          <w:color w:val="16211F"/>
          <w:sz w:val="20"/>
        </w:rPr>
        <w:t>Bu paket, PEYSED'in sektörde ortak dil, şeffaf kapsam ve uygulanabilir kalite ölçütleri oluşturma çalışmasının parçasıdır. Kullanıcı, yalnızca kendi işine uygun bölümü kopyalamalı; köşeli parantezli alanları doldurmalı ve proje eklerini tarih/sürüm numarasıyla ilişkilendirmelidir.</w:t>
      </w:r>
    </w:p>
    <w:p>
      <w:pPr>
        <w:spacing w:before="80" w:after="40"/>
        <w:shd w:fill="FBF8F1"/>
        <w:pBdr>
          <w:left w:val="single" w:sz="18" w:space="8" w:color="8A6A33"/>
        </w:pBdr>
      </w:pPr>
      <w:r>
        <w:rPr>
          <w:rFonts w:ascii="Aptos" w:hAnsi="Aptos" w:eastAsia="Aptos"/>
          <w:b/>
          <w:color w:val="8A6A33"/>
          <w:sz w:val="18"/>
        </w:rPr>
        <w:t>REKABET HUKUKU UYARISI</w:t>
      </w:r>
    </w:p>
    <w:p>
      <w:pPr>
        <w:spacing w:before="0" w:after="160"/>
        <w:shd w:fill="FBF8F1"/>
        <w:pBdr>
          <w:left w:val="single" w:sz="18" w:space="8" w:color="8A6A33"/>
        </w:pBdr>
      </w:pPr>
      <w:r>
        <w:rPr>
          <w:rFonts w:ascii="Aptos" w:hAnsi="Aptos" w:eastAsia="Aptos"/>
          <w:color w:val="16211F"/>
          <w:sz w:val="20"/>
        </w:rPr>
        <w:t>Dernek çatısı altında taban fiyat, ortak ücret, azami indirim, müşteri/bölge paylaşımı, ihaleye katılım veya çalışan ücretlerinin koordine edilmesi yasak riskler doğurabilir. Firmalar ticari kararlarını bağımsız almalıdır.</w:t>
      </w:r>
    </w:p>
    <w:p>
      <w:pPr>
        <w:pStyle w:val="Heading1"/>
        <w:pageBreakBefore/>
      </w:pPr>
      <w:r>
        <w:t>1. PEYSED Mesleki Etik İlkeleri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Kurum/kişi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sürümü/tarih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Kapsam/faaliyet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Sorumlu/onaylayan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Temel hükümler</w:t>
      </w:r>
    </w:p>
    <w:p>
      <w:pPr>
        <w:numPr>
          <w:ilvl w:val="0"/>
          <w:numId w:val="1"/>
        </w:numPr>
      </w:pPr>
      <w:r>
        <w:rPr>
          <w:rFonts w:ascii="Aptos" w:hAnsi="Aptos" w:eastAsia="Aptos"/>
          <w:color w:val="16211F"/>
          <w:sz w:val="22"/>
        </w:rPr>
        <w:t>Kamu yararı, çevresel sorumluluk, teknik doğruluk, dürüst temsil ve kullanıcı güvenliği gözetilir.</w:t>
      </w:r>
    </w:p>
    <w:p>
      <w:pPr>
        <w:numPr>
          <w:ilvl w:val="0"/>
          <w:numId w:val="1"/>
        </w:numPr>
      </w:pPr>
      <w:r>
        <w:rPr>
          <w:rFonts w:ascii="Aptos" w:hAnsi="Aptos" w:eastAsia="Aptos"/>
          <w:color w:val="16211F"/>
          <w:sz w:val="22"/>
        </w:rPr>
        <w:t>Yetkinlik dışı işte uzman desteği alınır; hata, risk ve çıkar çatışması saklanmaz.</w:t>
      </w:r>
    </w:p>
    <w:p>
      <w:pPr>
        <w:numPr>
          <w:ilvl w:val="0"/>
          <w:numId w:val="1"/>
        </w:numPr>
      </w:pPr>
      <w:r>
        <w:rPr>
          <w:rFonts w:ascii="Aptos" w:hAnsi="Aptos" w:eastAsia="Aptos"/>
          <w:color w:val="16211F"/>
          <w:sz w:val="22"/>
        </w:rPr>
        <w:t>Projeye, emeğe, fikrî haklara ve nitelikli çalışanın adil ücret hakkına saygı gösterilir.</w:t>
      </w:r>
    </w:p>
    <w:p>
      <w:pPr>
        <w:pStyle w:val="Heading2"/>
      </w:pPr>
      <w:r>
        <w:t>Uygulama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300"/>
        <w:gridCol w:w="27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Konu/risk</w:t>
            </w:r>
          </w:p>
        </w:tc>
        <w:tc>
          <w:tcPr>
            <w:tcW w:type="dxa" w:w="2300"/>
            <w:shd w:fill="4D6765"/>
            <w:tcMar>
              <w:top w:w="90" w:type="dxa"/>
              <w:start w:w="120" w:type="dxa"/>
              <w:bottom w:w="90" w:type="dxa"/>
              <w:end w:w="120" w:type="dxa"/>
            </w:tcMar>
          </w:tcPr>
          <w:p>
            <w:r>
              <w:rPr>
                <w:rFonts w:ascii="Aptos" w:hAnsi="Aptos" w:eastAsia="Aptos"/>
                <w:b/>
                <w:color w:val="FFFFFF"/>
                <w:sz w:val="17"/>
              </w:rPr>
              <w:t>Mevcut durum</w:t>
            </w:r>
          </w:p>
        </w:tc>
        <w:tc>
          <w:tcPr>
            <w:tcW w:type="dxa" w:w="2700"/>
            <w:shd w:fill="4D6765"/>
            <w:tcMar>
              <w:top w:w="90" w:type="dxa"/>
              <w:start w:w="120" w:type="dxa"/>
              <w:bottom w:w="90" w:type="dxa"/>
              <w:end w:w="120" w:type="dxa"/>
            </w:tcMar>
          </w:tcPr>
          <w:p>
            <w:r>
              <w:rPr>
                <w:rFonts w:ascii="Aptos" w:hAnsi="Aptos" w:eastAsia="Aptos"/>
                <w:b/>
                <w:color w:val="FFFFFF"/>
                <w:sz w:val="17"/>
              </w:rPr>
              <w:t>Alınacak önlem</w:t>
            </w:r>
          </w:p>
        </w:tc>
        <w:tc>
          <w:tcPr>
            <w:tcW w:type="dxa" w:w="2560"/>
            <w:shd w:fill="4D6765"/>
            <w:tcMar>
              <w:top w:w="90" w:type="dxa"/>
              <w:start w:w="120" w:type="dxa"/>
              <w:bottom w:w="90" w:type="dxa"/>
              <w:end w:w="120" w:type="dxa"/>
            </w:tcMar>
          </w:tcPr>
          <w:p>
            <w:r>
              <w:rPr>
                <w:rFonts w:ascii="Aptos" w:hAnsi="Aptos" w:eastAsia="Aptos"/>
                <w:b/>
                <w:color w:val="FFFFFF"/>
                <w:sz w:val="17"/>
              </w:rPr>
              <w:t>Sorumlu/tarih</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Beyan/taahhüt sahibi</w:t>
            </w:r>
          </w:p>
        </w:tc>
        <w:tc>
          <w:tcPr>
            <w:tcW w:type="dxa" w:w="4680"/>
            <w:shd w:fill="4D6765"/>
            <w:tcMar>
              <w:top w:w="90" w:type="dxa"/>
              <w:start w:w="120" w:type="dxa"/>
              <w:bottom w:w="90" w:type="dxa"/>
              <w:end w:w="120" w:type="dxa"/>
            </w:tcMar>
          </w:tcPr>
          <w:p>
            <w:r>
              <w:rPr>
                <w:rFonts w:ascii="Aptos" w:hAnsi="Aptos" w:eastAsia="Aptos"/>
                <w:b/>
                <w:color w:val="FFFFFF"/>
                <w:sz w:val="17"/>
              </w:rPr>
              <w:t>Kabul/kontrol</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2. Etik Fiyatlandırma ve Haksız Fiyat Kırma Rehberi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Kurum/kişi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sürümü/tarih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Kapsam/faaliyet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Sorumlu/onaylayan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Temel hükümler</w:t>
      </w:r>
    </w:p>
    <w:p>
      <w:pPr>
        <w:numPr>
          <w:ilvl w:val="0"/>
          <w:numId w:val="1"/>
        </w:numPr>
      </w:pPr>
      <w:r>
        <w:rPr>
          <w:rFonts w:ascii="Aptos" w:hAnsi="Aptos" w:eastAsia="Aptos"/>
          <w:color w:val="16211F"/>
          <w:sz w:val="22"/>
        </w:rPr>
        <w:t>Her firma fiyatını bağımsız belirler; PEYSED taban, sabit, tavsiye edilen fiyat veya indirim oranı belirlemez.</w:t>
      </w:r>
    </w:p>
    <w:p>
      <w:pPr>
        <w:numPr>
          <w:ilvl w:val="0"/>
          <w:numId w:val="1"/>
        </w:numPr>
      </w:pPr>
      <w:r>
        <w:rPr>
          <w:rFonts w:ascii="Aptos" w:hAnsi="Aptos" w:eastAsia="Aptos"/>
          <w:color w:val="16211F"/>
          <w:sz w:val="22"/>
        </w:rPr>
        <w:t>Teklif; doğrudan işçilik/malzeme kadar mobilizasyon, proje, yönetim, garanti, finansman, atık, risk ve genel giderleri görünür kılmalıdır.</w:t>
      </w:r>
    </w:p>
    <w:p>
      <w:pPr>
        <w:numPr>
          <w:ilvl w:val="0"/>
          <w:numId w:val="1"/>
        </w:numPr>
      </w:pPr>
      <w:r>
        <w:rPr>
          <w:rFonts w:ascii="Aptos" w:hAnsi="Aptos" w:eastAsia="Aptos"/>
          <w:color w:val="16211F"/>
          <w:sz w:val="22"/>
        </w:rPr>
        <w:t>Rakiplerin güncel/gelecekteki fiyat, ücret, müşteri, kapasite veya teklif stratejileri paylaşılmaz.</w:t>
      </w:r>
    </w:p>
    <w:p>
      <w:pPr>
        <w:pStyle w:val="Heading2"/>
      </w:pPr>
      <w:r>
        <w:t>Uygulama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300"/>
        <w:gridCol w:w="27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Konu/risk</w:t>
            </w:r>
          </w:p>
        </w:tc>
        <w:tc>
          <w:tcPr>
            <w:tcW w:type="dxa" w:w="2300"/>
            <w:shd w:fill="4D6765"/>
            <w:tcMar>
              <w:top w:w="90" w:type="dxa"/>
              <w:start w:w="120" w:type="dxa"/>
              <w:bottom w:w="90" w:type="dxa"/>
              <w:end w:w="120" w:type="dxa"/>
            </w:tcMar>
          </w:tcPr>
          <w:p>
            <w:r>
              <w:rPr>
                <w:rFonts w:ascii="Aptos" w:hAnsi="Aptos" w:eastAsia="Aptos"/>
                <w:b/>
                <w:color w:val="FFFFFF"/>
                <w:sz w:val="17"/>
              </w:rPr>
              <w:t>Mevcut durum</w:t>
            </w:r>
          </w:p>
        </w:tc>
        <w:tc>
          <w:tcPr>
            <w:tcW w:type="dxa" w:w="2700"/>
            <w:shd w:fill="4D6765"/>
            <w:tcMar>
              <w:top w:w="90" w:type="dxa"/>
              <w:start w:w="120" w:type="dxa"/>
              <w:bottom w:w="90" w:type="dxa"/>
              <w:end w:w="120" w:type="dxa"/>
            </w:tcMar>
          </w:tcPr>
          <w:p>
            <w:r>
              <w:rPr>
                <w:rFonts w:ascii="Aptos" w:hAnsi="Aptos" w:eastAsia="Aptos"/>
                <w:b/>
                <w:color w:val="FFFFFF"/>
                <w:sz w:val="17"/>
              </w:rPr>
              <w:t>Alınacak önlem</w:t>
            </w:r>
          </w:p>
        </w:tc>
        <w:tc>
          <w:tcPr>
            <w:tcW w:type="dxa" w:w="2560"/>
            <w:shd w:fill="4D6765"/>
            <w:tcMar>
              <w:top w:w="90" w:type="dxa"/>
              <w:start w:w="120" w:type="dxa"/>
              <w:bottom w:w="90" w:type="dxa"/>
              <w:end w:w="120" w:type="dxa"/>
            </w:tcMar>
          </w:tcPr>
          <w:p>
            <w:r>
              <w:rPr>
                <w:rFonts w:ascii="Aptos" w:hAnsi="Aptos" w:eastAsia="Aptos"/>
                <w:b/>
                <w:color w:val="FFFFFF"/>
                <w:sz w:val="17"/>
              </w:rPr>
              <w:t>Sorumlu/tarih</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Beyan/taahhüt sahibi</w:t>
            </w:r>
          </w:p>
        </w:tc>
        <w:tc>
          <w:tcPr>
            <w:tcW w:type="dxa" w:w="4680"/>
            <w:shd w:fill="4D6765"/>
            <w:tcMar>
              <w:top w:w="90" w:type="dxa"/>
              <w:start w:w="120" w:type="dxa"/>
              <w:bottom w:w="90" w:type="dxa"/>
              <w:end w:w="120" w:type="dxa"/>
            </w:tcMar>
          </w:tcPr>
          <w:p>
            <w:r>
              <w:rPr>
                <w:rFonts w:ascii="Aptos" w:hAnsi="Aptos" w:eastAsia="Aptos"/>
                <w:b/>
                <w:color w:val="FFFFFF"/>
                <w:sz w:val="17"/>
              </w:rPr>
              <w:t>Kabul/kontrol</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3. Rekabet Hukukuna Uyum Kılavuzu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Kurum/kişi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sürümü/tarih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Kapsam/faaliyet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Sorumlu/onaylayan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Temel hükümler</w:t>
      </w:r>
    </w:p>
    <w:p>
      <w:pPr>
        <w:numPr>
          <w:ilvl w:val="0"/>
          <w:numId w:val="1"/>
        </w:numPr>
      </w:pPr>
      <w:r>
        <w:rPr>
          <w:rFonts w:ascii="Aptos" w:hAnsi="Aptos" w:eastAsia="Aptos"/>
          <w:color w:val="16211F"/>
          <w:sz w:val="22"/>
        </w:rPr>
        <w:t>Rakiplerle fiyat, ücret, bölge, müşteri, teklif sırası, kapasite veya ihaleye katılım koordinasyonu yapılmaz.</w:t>
      </w:r>
    </w:p>
    <w:p>
      <w:pPr>
        <w:numPr>
          <w:ilvl w:val="0"/>
          <w:numId w:val="1"/>
        </w:numPr>
      </w:pPr>
      <w:r>
        <w:rPr>
          <w:rFonts w:ascii="Aptos" w:hAnsi="Aptos" w:eastAsia="Aptos"/>
          <w:color w:val="16211F"/>
          <w:sz w:val="22"/>
        </w:rPr>
        <w:t>Dernek toplantılarında rekabete hassas gündem açılırsa görüşme durdurulur ve tutanağa geçirilir.</w:t>
      </w:r>
    </w:p>
    <w:p>
      <w:pPr>
        <w:numPr>
          <w:ilvl w:val="0"/>
          <w:numId w:val="1"/>
        </w:numPr>
      </w:pPr>
      <w:r>
        <w:rPr>
          <w:rFonts w:ascii="Aptos" w:hAnsi="Aptos" w:eastAsia="Aptos"/>
          <w:color w:val="16211F"/>
          <w:sz w:val="22"/>
        </w:rPr>
        <w:t>Karşılaştırmalı maliyet eğitimi anonim, geçmişe dönük ve toplulaştırılmış bilgiyle; bağımsız fiyat kararını koruyacak biçimde yürütülür.</w:t>
      </w:r>
    </w:p>
    <w:p>
      <w:pPr>
        <w:pStyle w:val="Heading2"/>
      </w:pPr>
      <w:r>
        <w:t>Uygulama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300"/>
        <w:gridCol w:w="27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Konu/risk</w:t>
            </w:r>
          </w:p>
        </w:tc>
        <w:tc>
          <w:tcPr>
            <w:tcW w:type="dxa" w:w="2300"/>
            <w:shd w:fill="4D6765"/>
            <w:tcMar>
              <w:top w:w="90" w:type="dxa"/>
              <w:start w:w="120" w:type="dxa"/>
              <w:bottom w:w="90" w:type="dxa"/>
              <w:end w:w="120" w:type="dxa"/>
            </w:tcMar>
          </w:tcPr>
          <w:p>
            <w:r>
              <w:rPr>
                <w:rFonts w:ascii="Aptos" w:hAnsi="Aptos" w:eastAsia="Aptos"/>
                <w:b/>
                <w:color w:val="FFFFFF"/>
                <w:sz w:val="17"/>
              </w:rPr>
              <w:t>Mevcut durum</w:t>
            </w:r>
          </w:p>
        </w:tc>
        <w:tc>
          <w:tcPr>
            <w:tcW w:type="dxa" w:w="2700"/>
            <w:shd w:fill="4D6765"/>
            <w:tcMar>
              <w:top w:w="90" w:type="dxa"/>
              <w:start w:w="120" w:type="dxa"/>
              <w:bottom w:w="90" w:type="dxa"/>
              <w:end w:w="120" w:type="dxa"/>
            </w:tcMar>
          </w:tcPr>
          <w:p>
            <w:r>
              <w:rPr>
                <w:rFonts w:ascii="Aptos" w:hAnsi="Aptos" w:eastAsia="Aptos"/>
                <w:b/>
                <w:color w:val="FFFFFF"/>
                <w:sz w:val="17"/>
              </w:rPr>
              <w:t>Alınacak önlem</w:t>
            </w:r>
          </w:p>
        </w:tc>
        <w:tc>
          <w:tcPr>
            <w:tcW w:type="dxa" w:w="2560"/>
            <w:shd w:fill="4D6765"/>
            <w:tcMar>
              <w:top w:w="90" w:type="dxa"/>
              <w:start w:w="120" w:type="dxa"/>
              <w:bottom w:w="90" w:type="dxa"/>
              <w:end w:w="120" w:type="dxa"/>
            </w:tcMar>
          </w:tcPr>
          <w:p>
            <w:r>
              <w:rPr>
                <w:rFonts w:ascii="Aptos" w:hAnsi="Aptos" w:eastAsia="Aptos"/>
                <w:b/>
                <w:color w:val="FFFFFF"/>
                <w:sz w:val="17"/>
              </w:rPr>
              <w:t>Sorumlu/tarih</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Beyan/taahhüt sahibi</w:t>
            </w:r>
          </w:p>
        </w:tc>
        <w:tc>
          <w:tcPr>
            <w:tcW w:type="dxa" w:w="4680"/>
            <w:shd w:fill="4D6765"/>
            <w:tcMar>
              <w:top w:w="90" w:type="dxa"/>
              <w:start w:w="120" w:type="dxa"/>
              <w:bottom w:w="90" w:type="dxa"/>
              <w:end w:w="120" w:type="dxa"/>
            </w:tcMar>
          </w:tcPr>
          <w:p>
            <w:r>
              <w:rPr>
                <w:rFonts w:ascii="Aptos" w:hAnsi="Aptos" w:eastAsia="Aptos"/>
                <w:b/>
                <w:color w:val="FFFFFF"/>
                <w:sz w:val="17"/>
              </w:rPr>
              <w:t>Kabul/kontrol</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4. Çıkar Çatışması Beyanı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Kurum/kişi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sürümü/tarih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Kapsam/faaliyet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Sorumlu/onaylayan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Temel hükümler</w:t>
      </w:r>
    </w:p>
    <w:p>
      <w:pPr>
        <w:numPr>
          <w:ilvl w:val="0"/>
          <w:numId w:val="1"/>
        </w:numPr>
      </w:pPr>
      <w:r>
        <w:rPr>
          <w:rFonts w:ascii="Aptos" w:hAnsi="Aptos" w:eastAsia="Aptos"/>
          <w:color w:val="16211F"/>
          <w:sz w:val="22"/>
        </w:rPr>
        <w:t>Beyan sahibi; müşteri, tedarikçi, alt yüklenici, kamu görevlisi veya karar vericiyle mali/yakınlık ilişkisini açıklar.</w:t>
      </w:r>
    </w:p>
    <w:p>
      <w:pPr>
        <w:numPr>
          <w:ilvl w:val="0"/>
          <w:numId w:val="1"/>
        </w:numPr>
      </w:pPr>
      <w:r>
        <w:rPr>
          <w:rFonts w:ascii="Aptos" w:hAnsi="Aptos" w:eastAsia="Aptos"/>
          <w:color w:val="16211F"/>
          <w:sz w:val="22"/>
        </w:rPr>
        <w:t>Çatışmanın yönetimi; çekilme, ikinci onay, bilgi duvarı veya bağımsız değerlendirme olarak yazılır.</w:t>
      </w:r>
    </w:p>
    <w:p>
      <w:pPr>
        <w:pStyle w:val="Heading2"/>
      </w:pPr>
      <w:r>
        <w:t>Uygulama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300"/>
        <w:gridCol w:w="27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Konu/risk</w:t>
            </w:r>
          </w:p>
        </w:tc>
        <w:tc>
          <w:tcPr>
            <w:tcW w:type="dxa" w:w="2300"/>
            <w:shd w:fill="4D6765"/>
            <w:tcMar>
              <w:top w:w="90" w:type="dxa"/>
              <w:start w:w="120" w:type="dxa"/>
              <w:bottom w:w="90" w:type="dxa"/>
              <w:end w:w="120" w:type="dxa"/>
            </w:tcMar>
          </w:tcPr>
          <w:p>
            <w:r>
              <w:rPr>
                <w:rFonts w:ascii="Aptos" w:hAnsi="Aptos" w:eastAsia="Aptos"/>
                <w:b/>
                <w:color w:val="FFFFFF"/>
                <w:sz w:val="17"/>
              </w:rPr>
              <w:t>Mevcut durum</w:t>
            </w:r>
          </w:p>
        </w:tc>
        <w:tc>
          <w:tcPr>
            <w:tcW w:type="dxa" w:w="2700"/>
            <w:shd w:fill="4D6765"/>
            <w:tcMar>
              <w:top w:w="90" w:type="dxa"/>
              <w:start w:w="120" w:type="dxa"/>
              <w:bottom w:w="90" w:type="dxa"/>
              <w:end w:w="120" w:type="dxa"/>
            </w:tcMar>
          </w:tcPr>
          <w:p>
            <w:r>
              <w:rPr>
                <w:rFonts w:ascii="Aptos" w:hAnsi="Aptos" w:eastAsia="Aptos"/>
                <w:b/>
                <w:color w:val="FFFFFF"/>
                <w:sz w:val="17"/>
              </w:rPr>
              <w:t>Alınacak önlem</w:t>
            </w:r>
          </w:p>
        </w:tc>
        <w:tc>
          <w:tcPr>
            <w:tcW w:type="dxa" w:w="2560"/>
            <w:shd w:fill="4D6765"/>
            <w:tcMar>
              <w:top w:w="90" w:type="dxa"/>
              <w:start w:w="120" w:type="dxa"/>
              <w:bottom w:w="90" w:type="dxa"/>
              <w:end w:w="120" w:type="dxa"/>
            </w:tcMar>
          </w:tcPr>
          <w:p>
            <w:r>
              <w:rPr>
                <w:rFonts w:ascii="Aptos" w:hAnsi="Aptos" w:eastAsia="Aptos"/>
                <w:b/>
                <w:color w:val="FFFFFF"/>
                <w:sz w:val="17"/>
              </w:rPr>
              <w:t>Sorumlu/tarih</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Beyan/taahhüt sahibi</w:t>
            </w:r>
          </w:p>
        </w:tc>
        <w:tc>
          <w:tcPr>
            <w:tcW w:type="dxa" w:w="4680"/>
            <w:shd w:fill="4D6765"/>
            <w:tcMar>
              <w:top w:w="90" w:type="dxa"/>
              <w:start w:w="120" w:type="dxa"/>
              <w:bottom w:w="90" w:type="dxa"/>
              <w:end w:w="120" w:type="dxa"/>
            </w:tcMar>
          </w:tcPr>
          <w:p>
            <w:r>
              <w:rPr>
                <w:rFonts w:ascii="Aptos" w:hAnsi="Aptos" w:eastAsia="Aptos"/>
                <w:b/>
                <w:color w:val="FFFFFF"/>
                <w:sz w:val="17"/>
              </w:rPr>
              <w:t>Kabul/kontrol</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5. Tedarikçi Etik Taahhütnamesi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Kurum/kişi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sürümü/tarih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Kapsam/faaliyet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Sorumlu/onaylayan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Temel hükümler</w:t>
      </w:r>
    </w:p>
    <w:p>
      <w:pPr>
        <w:numPr>
          <w:ilvl w:val="0"/>
          <w:numId w:val="1"/>
        </w:numPr>
      </w:pPr>
      <w:r>
        <w:rPr>
          <w:rFonts w:ascii="Aptos" w:hAnsi="Aptos" w:eastAsia="Aptos"/>
          <w:color w:val="16211F"/>
          <w:sz w:val="22"/>
        </w:rPr>
        <w:t>Rüşvet, ayrımcılık, kayıt dışı çalışma, çevre ihlali, sahte belge ve fikrî hak ihlaline tolerans gösterilmez.</w:t>
      </w:r>
    </w:p>
    <w:p>
      <w:pPr>
        <w:numPr>
          <w:ilvl w:val="0"/>
          <w:numId w:val="1"/>
        </w:numPr>
      </w:pPr>
      <w:r>
        <w:rPr>
          <w:rFonts w:ascii="Aptos" w:hAnsi="Aptos" w:eastAsia="Aptos"/>
          <w:color w:val="16211F"/>
          <w:sz w:val="22"/>
        </w:rPr>
        <w:t>Ürün menşei, teknik özellik, garanti ve uygunluk belgeleri doğru sunulur; alt tedarik zinciri makul ölçüde izlenir.</w:t>
      </w:r>
    </w:p>
    <w:p>
      <w:pPr>
        <w:pStyle w:val="Heading2"/>
      </w:pPr>
      <w:r>
        <w:t>Uygulama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300"/>
        <w:gridCol w:w="27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Konu/risk</w:t>
            </w:r>
          </w:p>
        </w:tc>
        <w:tc>
          <w:tcPr>
            <w:tcW w:type="dxa" w:w="2300"/>
            <w:shd w:fill="4D6765"/>
            <w:tcMar>
              <w:top w:w="90" w:type="dxa"/>
              <w:start w:w="120" w:type="dxa"/>
              <w:bottom w:w="90" w:type="dxa"/>
              <w:end w:w="120" w:type="dxa"/>
            </w:tcMar>
          </w:tcPr>
          <w:p>
            <w:r>
              <w:rPr>
                <w:rFonts w:ascii="Aptos" w:hAnsi="Aptos" w:eastAsia="Aptos"/>
                <w:b/>
                <w:color w:val="FFFFFF"/>
                <w:sz w:val="17"/>
              </w:rPr>
              <w:t>Mevcut durum</w:t>
            </w:r>
          </w:p>
        </w:tc>
        <w:tc>
          <w:tcPr>
            <w:tcW w:type="dxa" w:w="2700"/>
            <w:shd w:fill="4D6765"/>
            <w:tcMar>
              <w:top w:w="90" w:type="dxa"/>
              <w:start w:w="120" w:type="dxa"/>
              <w:bottom w:w="90" w:type="dxa"/>
              <w:end w:w="120" w:type="dxa"/>
            </w:tcMar>
          </w:tcPr>
          <w:p>
            <w:r>
              <w:rPr>
                <w:rFonts w:ascii="Aptos" w:hAnsi="Aptos" w:eastAsia="Aptos"/>
                <w:b/>
                <w:color w:val="FFFFFF"/>
                <w:sz w:val="17"/>
              </w:rPr>
              <w:t>Alınacak önlem</w:t>
            </w:r>
          </w:p>
        </w:tc>
        <w:tc>
          <w:tcPr>
            <w:tcW w:type="dxa" w:w="2560"/>
            <w:shd w:fill="4D6765"/>
            <w:tcMar>
              <w:top w:w="90" w:type="dxa"/>
              <w:start w:w="120" w:type="dxa"/>
              <w:bottom w:w="90" w:type="dxa"/>
              <w:end w:w="120" w:type="dxa"/>
            </w:tcMar>
          </w:tcPr>
          <w:p>
            <w:r>
              <w:rPr>
                <w:rFonts w:ascii="Aptos" w:hAnsi="Aptos" w:eastAsia="Aptos"/>
                <w:b/>
                <w:color w:val="FFFFFF"/>
                <w:sz w:val="17"/>
              </w:rPr>
              <w:t>Sorumlu/tarih</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Beyan/taahhüt sahibi</w:t>
            </w:r>
          </w:p>
        </w:tc>
        <w:tc>
          <w:tcPr>
            <w:tcW w:type="dxa" w:w="4680"/>
            <w:shd w:fill="4D6765"/>
            <w:tcMar>
              <w:top w:w="90" w:type="dxa"/>
              <w:start w:w="120" w:type="dxa"/>
              <w:bottom w:w="90" w:type="dxa"/>
              <w:end w:w="120" w:type="dxa"/>
            </w:tcMar>
          </w:tcPr>
          <w:p>
            <w:r>
              <w:rPr>
                <w:rFonts w:ascii="Aptos" w:hAnsi="Aptos" w:eastAsia="Aptos"/>
                <w:b/>
                <w:color w:val="FFFFFF"/>
                <w:sz w:val="17"/>
              </w:rPr>
              <w:t>Kabul/kontrol</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6. Çevresel ve Sosyal Sorumluluk Taahhüdü</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Kurum/kişi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sürümü/tarih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Kapsam/faaliyet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Sorumlu/onaylayan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Temel hükümler</w:t>
      </w:r>
    </w:p>
    <w:p>
      <w:pPr>
        <w:numPr>
          <w:ilvl w:val="0"/>
          <w:numId w:val="1"/>
        </w:numPr>
      </w:pPr>
      <w:r>
        <w:rPr>
          <w:rFonts w:ascii="Aptos" w:hAnsi="Aptos" w:eastAsia="Aptos"/>
          <w:color w:val="16211F"/>
          <w:sz w:val="22"/>
        </w:rPr>
        <w:t>Su, enerji, toprak, biyolojik çeşitlilik, atık ve karbon etkileri proje kararlarında belgelenir.</w:t>
      </w:r>
    </w:p>
    <w:p>
      <w:pPr>
        <w:numPr>
          <w:ilvl w:val="0"/>
          <w:numId w:val="1"/>
        </w:numPr>
      </w:pPr>
      <w:r>
        <w:rPr>
          <w:rFonts w:ascii="Aptos" w:hAnsi="Aptos" w:eastAsia="Aptos"/>
          <w:color w:val="16211F"/>
          <w:sz w:val="22"/>
        </w:rPr>
        <w:t>Yerli/uyumlu türler, erişilebilirlik, işçi sağlığı ve yaşam döngüsü maliyeti birlikte değerlendirilir.</w:t>
      </w:r>
    </w:p>
    <w:p>
      <w:pPr>
        <w:pStyle w:val="Heading2"/>
      </w:pPr>
      <w:r>
        <w:t>Uygulama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300"/>
        <w:gridCol w:w="27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Konu/risk</w:t>
            </w:r>
          </w:p>
        </w:tc>
        <w:tc>
          <w:tcPr>
            <w:tcW w:type="dxa" w:w="2300"/>
            <w:shd w:fill="4D6765"/>
            <w:tcMar>
              <w:top w:w="90" w:type="dxa"/>
              <w:start w:w="120" w:type="dxa"/>
              <w:bottom w:w="90" w:type="dxa"/>
              <w:end w:w="120" w:type="dxa"/>
            </w:tcMar>
          </w:tcPr>
          <w:p>
            <w:r>
              <w:rPr>
                <w:rFonts w:ascii="Aptos" w:hAnsi="Aptos" w:eastAsia="Aptos"/>
                <w:b/>
                <w:color w:val="FFFFFF"/>
                <w:sz w:val="17"/>
              </w:rPr>
              <w:t>Mevcut durum</w:t>
            </w:r>
          </w:p>
        </w:tc>
        <w:tc>
          <w:tcPr>
            <w:tcW w:type="dxa" w:w="2700"/>
            <w:shd w:fill="4D6765"/>
            <w:tcMar>
              <w:top w:w="90" w:type="dxa"/>
              <w:start w:w="120" w:type="dxa"/>
              <w:bottom w:w="90" w:type="dxa"/>
              <w:end w:w="120" w:type="dxa"/>
            </w:tcMar>
          </w:tcPr>
          <w:p>
            <w:r>
              <w:rPr>
                <w:rFonts w:ascii="Aptos" w:hAnsi="Aptos" w:eastAsia="Aptos"/>
                <w:b/>
                <w:color w:val="FFFFFF"/>
                <w:sz w:val="17"/>
              </w:rPr>
              <w:t>Alınacak önlem</w:t>
            </w:r>
          </w:p>
        </w:tc>
        <w:tc>
          <w:tcPr>
            <w:tcW w:type="dxa" w:w="2560"/>
            <w:shd w:fill="4D6765"/>
            <w:tcMar>
              <w:top w:w="90" w:type="dxa"/>
              <w:start w:w="120" w:type="dxa"/>
              <w:bottom w:w="90" w:type="dxa"/>
              <w:end w:w="120" w:type="dxa"/>
            </w:tcMar>
          </w:tcPr>
          <w:p>
            <w:r>
              <w:rPr>
                <w:rFonts w:ascii="Aptos" w:hAnsi="Aptos" w:eastAsia="Aptos"/>
                <w:b/>
                <w:color w:val="FFFFFF"/>
                <w:sz w:val="17"/>
              </w:rPr>
              <w:t>Sorumlu/tarih</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Beyan/taahhüt sahibi</w:t>
            </w:r>
          </w:p>
        </w:tc>
        <w:tc>
          <w:tcPr>
            <w:tcW w:type="dxa" w:w="4680"/>
            <w:shd w:fill="4D6765"/>
            <w:tcMar>
              <w:top w:w="90" w:type="dxa"/>
              <w:start w:w="120" w:type="dxa"/>
              <w:bottom w:w="90" w:type="dxa"/>
              <w:end w:w="120" w:type="dxa"/>
            </w:tcMar>
          </w:tcPr>
          <w:p>
            <w:r>
              <w:rPr>
                <w:rFonts w:ascii="Aptos" w:hAnsi="Aptos" w:eastAsia="Aptos"/>
                <w:b/>
                <w:color w:val="FFFFFF"/>
                <w:sz w:val="17"/>
              </w:rPr>
              <w:t>Kabul/kontrol</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7. Müşteri Şikâyeti Değerlendirme Formu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Kurum/kişi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sürümü/tarih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Kapsam/faaliyet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Sorumlu/onaylayan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Temel hükümler</w:t>
      </w:r>
    </w:p>
    <w:p>
      <w:pPr>
        <w:numPr>
          <w:ilvl w:val="0"/>
          <w:numId w:val="1"/>
        </w:numPr>
      </w:pPr>
      <w:r>
        <w:rPr>
          <w:rFonts w:ascii="Aptos" w:hAnsi="Aptos" w:eastAsia="Aptos"/>
          <w:color w:val="16211F"/>
          <w:sz w:val="22"/>
        </w:rPr>
        <w:t>Şikâyet tarih, sözleşme/iş, konu, kanıt, aciliyet ve iletişim tercihiyle kaydedilir.</w:t>
      </w:r>
    </w:p>
    <w:p>
      <w:pPr>
        <w:numPr>
          <w:ilvl w:val="0"/>
          <w:numId w:val="1"/>
        </w:numPr>
      </w:pPr>
      <w:r>
        <w:rPr>
          <w:rFonts w:ascii="Aptos" w:hAnsi="Aptos" w:eastAsia="Aptos"/>
          <w:color w:val="16211F"/>
          <w:sz w:val="22"/>
        </w:rPr>
        <w:t>Kök neden, geçici önlem, kalıcı çözüm, sorumlu ve hedef tarih belirlenir; sonuç yazılı bildirilir.</w:t>
      </w:r>
    </w:p>
    <w:p>
      <w:pPr>
        <w:pStyle w:val="Heading2"/>
      </w:pPr>
      <w:r>
        <w:t>Uygulama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300"/>
        <w:gridCol w:w="27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Konu/risk</w:t>
            </w:r>
          </w:p>
        </w:tc>
        <w:tc>
          <w:tcPr>
            <w:tcW w:type="dxa" w:w="2300"/>
            <w:shd w:fill="4D6765"/>
            <w:tcMar>
              <w:top w:w="90" w:type="dxa"/>
              <w:start w:w="120" w:type="dxa"/>
              <w:bottom w:w="90" w:type="dxa"/>
              <w:end w:w="120" w:type="dxa"/>
            </w:tcMar>
          </w:tcPr>
          <w:p>
            <w:r>
              <w:rPr>
                <w:rFonts w:ascii="Aptos" w:hAnsi="Aptos" w:eastAsia="Aptos"/>
                <w:b/>
                <w:color w:val="FFFFFF"/>
                <w:sz w:val="17"/>
              </w:rPr>
              <w:t>Mevcut durum</w:t>
            </w:r>
          </w:p>
        </w:tc>
        <w:tc>
          <w:tcPr>
            <w:tcW w:type="dxa" w:w="2700"/>
            <w:shd w:fill="4D6765"/>
            <w:tcMar>
              <w:top w:w="90" w:type="dxa"/>
              <w:start w:w="120" w:type="dxa"/>
              <w:bottom w:w="90" w:type="dxa"/>
              <w:end w:w="120" w:type="dxa"/>
            </w:tcMar>
          </w:tcPr>
          <w:p>
            <w:r>
              <w:rPr>
                <w:rFonts w:ascii="Aptos" w:hAnsi="Aptos" w:eastAsia="Aptos"/>
                <w:b/>
                <w:color w:val="FFFFFF"/>
                <w:sz w:val="17"/>
              </w:rPr>
              <w:t>Alınacak önlem</w:t>
            </w:r>
          </w:p>
        </w:tc>
        <w:tc>
          <w:tcPr>
            <w:tcW w:type="dxa" w:w="2560"/>
            <w:shd w:fill="4D6765"/>
            <w:tcMar>
              <w:top w:w="90" w:type="dxa"/>
              <w:start w:w="120" w:type="dxa"/>
              <w:bottom w:w="90" w:type="dxa"/>
              <w:end w:w="120" w:type="dxa"/>
            </w:tcMar>
          </w:tcPr>
          <w:p>
            <w:r>
              <w:rPr>
                <w:rFonts w:ascii="Aptos" w:hAnsi="Aptos" w:eastAsia="Aptos"/>
                <w:b/>
                <w:color w:val="FFFFFF"/>
                <w:sz w:val="17"/>
              </w:rPr>
              <w:t>Sorumlu/tarih</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Beyan/taahhüt sahibi</w:t>
            </w:r>
          </w:p>
        </w:tc>
        <w:tc>
          <w:tcPr>
            <w:tcW w:type="dxa" w:w="4680"/>
            <w:shd w:fill="4D6765"/>
            <w:tcMar>
              <w:top w:w="90" w:type="dxa"/>
              <w:start w:w="120" w:type="dxa"/>
              <w:bottom w:w="90" w:type="dxa"/>
              <w:end w:w="120" w:type="dxa"/>
            </w:tcMar>
          </w:tcPr>
          <w:p>
            <w:r>
              <w:rPr>
                <w:rFonts w:ascii="Aptos" w:hAnsi="Aptos" w:eastAsia="Aptos"/>
                <w:b/>
                <w:color w:val="FFFFFF"/>
                <w:sz w:val="17"/>
              </w:rPr>
              <w:t>Kabul/kontrol</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8. Arabuluculuk Öncesi Uzlaşma Tutanağı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Kurum/kişi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sürümü/tarih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Kapsam/faaliyet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Sorumlu/onaylayan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Temel hükümler</w:t>
      </w:r>
    </w:p>
    <w:p>
      <w:pPr>
        <w:numPr>
          <w:ilvl w:val="0"/>
          <w:numId w:val="1"/>
        </w:numPr>
      </w:pPr>
      <w:r>
        <w:rPr>
          <w:rFonts w:ascii="Aptos" w:hAnsi="Aptos" w:eastAsia="Aptos"/>
          <w:color w:val="16211F"/>
          <w:sz w:val="22"/>
        </w:rPr>
        <w:t>Taraf, uyuşmazlık konusu, talep, kabul edilen/edilmeyen hususlar ve görüşme yetkisi açıkça yazılır.</w:t>
      </w:r>
    </w:p>
    <w:p>
      <w:pPr>
        <w:numPr>
          <w:ilvl w:val="0"/>
          <w:numId w:val="1"/>
        </w:numPr>
      </w:pPr>
      <w:r>
        <w:rPr>
          <w:rFonts w:ascii="Aptos" w:hAnsi="Aptos" w:eastAsia="Aptos"/>
          <w:color w:val="16211F"/>
          <w:sz w:val="22"/>
        </w:rPr>
        <w:t>Bu form resmî arabuluculuk son tutanağının yerine geçmez; gizlilik ve dava şartı arabuluculuk hükümleri hukukçu tarafından kontrol edilir.</w:t>
      </w:r>
    </w:p>
    <w:p>
      <w:pPr>
        <w:pStyle w:val="Heading2"/>
      </w:pPr>
      <w:r>
        <w:t>Uygulama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300"/>
        <w:gridCol w:w="27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Konu/risk</w:t>
            </w:r>
          </w:p>
        </w:tc>
        <w:tc>
          <w:tcPr>
            <w:tcW w:type="dxa" w:w="2300"/>
            <w:shd w:fill="4D6765"/>
            <w:tcMar>
              <w:top w:w="90" w:type="dxa"/>
              <w:start w:w="120" w:type="dxa"/>
              <w:bottom w:w="90" w:type="dxa"/>
              <w:end w:w="120" w:type="dxa"/>
            </w:tcMar>
          </w:tcPr>
          <w:p>
            <w:r>
              <w:rPr>
                <w:rFonts w:ascii="Aptos" w:hAnsi="Aptos" w:eastAsia="Aptos"/>
                <w:b/>
                <w:color w:val="FFFFFF"/>
                <w:sz w:val="17"/>
              </w:rPr>
              <w:t>Mevcut durum</w:t>
            </w:r>
          </w:p>
        </w:tc>
        <w:tc>
          <w:tcPr>
            <w:tcW w:type="dxa" w:w="2700"/>
            <w:shd w:fill="4D6765"/>
            <w:tcMar>
              <w:top w:w="90" w:type="dxa"/>
              <w:start w:w="120" w:type="dxa"/>
              <w:bottom w:w="90" w:type="dxa"/>
              <w:end w:w="120" w:type="dxa"/>
            </w:tcMar>
          </w:tcPr>
          <w:p>
            <w:r>
              <w:rPr>
                <w:rFonts w:ascii="Aptos" w:hAnsi="Aptos" w:eastAsia="Aptos"/>
                <w:b/>
                <w:color w:val="FFFFFF"/>
                <w:sz w:val="17"/>
              </w:rPr>
              <w:t>Alınacak önlem</w:t>
            </w:r>
          </w:p>
        </w:tc>
        <w:tc>
          <w:tcPr>
            <w:tcW w:type="dxa" w:w="2560"/>
            <w:shd w:fill="4D6765"/>
            <w:tcMar>
              <w:top w:w="90" w:type="dxa"/>
              <w:start w:w="120" w:type="dxa"/>
              <w:bottom w:w="90" w:type="dxa"/>
              <w:end w:w="120" w:type="dxa"/>
            </w:tcMar>
          </w:tcPr>
          <w:p>
            <w:r>
              <w:rPr>
                <w:rFonts w:ascii="Aptos" w:hAnsi="Aptos" w:eastAsia="Aptos"/>
                <w:b/>
                <w:color w:val="FFFFFF"/>
                <w:sz w:val="17"/>
              </w:rPr>
              <w:t>Sorumlu/tarih</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Beyan/taahhüt sahibi</w:t>
            </w:r>
          </w:p>
        </w:tc>
        <w:tc>
          <w:tcPr>
            <w:tcW w:type="dxa" w:w="4680"/>
            <w:shd w:fill="4D6765"/>
            <w:tcMar>
              <w:top w:w="90" w:type="dxa"/>
              <w:start w:w="120" w:type="dxa"/>
              <w:bottom w:w="90" w:type="dxa"/>
              <w:end w:w="120" w:type="dxa"/>
            </w:tcMar>
          </w:tcPr>
          <w:p>
            <w:r>
              <w:rPr>
                <w:rFonts w:ascii="Aptos" w:hAnsi="Aptos" w:eastAsia="Aptos"/>
                <w:b/>
                <w:color w:val="FFFFFF"/>
                <w:sz w:val="17"/>
              </w:rPr>
              <w:t>Kabul/kontrol</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9. KVKK Çalışan ve Müşteri Aydınlatma Metni Kontrol Şablonu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Kurum/kişi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sürümü/tarih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Kapsam/faaliyet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Sorumlu/onaylayan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Temel hükümler</w:t>
      </w:r>
    </w:p>
    <w:p>
      <w:pPr>
        <w:numPr>
          <w:ilvl w:val="0"/>
          <w:numId w:val="1"/>
        </w:numPr>
      </w:pPr>
      <w:r>
        <w:rPr>
          <w:rFonts w:ascii="Aptos" w:hAnsi="Aptos" w:eastAsia="Aptos"/>
          <w:color w:val="16211F"/>
          <w:sz w:val="22"/>
        </w:rPr>
        <w:t>Veri sorumlusu, amaç, hukuki sebep, veri kategorisi, alıcı, toplama yöntemi ve ilgili kişi hakları somut sürece göre yazılır.</w:t>
      </w:r>
    </w:p>
    <w:p>
      <w:pPr>
        <w:numPr>
          <w:ilvl w:val="0"/>
          <w:numId w:val="1"/>
        </w:numPr>
      </w:pPr>
      <w:r>
        <w:rPr>
          <w:rFonts w:ascii="Aptos" w:hAnsi="Aptos" w:eastAsia="Aptos"/>
          <w:color w:val="16211F"/>
          <w:sz w:val="22"/>
        </w:rPr>
        <w:t>Aydınlatma ile açık rıza ayrılır; zorunlu olmayan pazarlama/portföy izinleri ayrı ve geri alınabilir tasarlanır.</w:t>
      </w:r>
    </w:p>
    <w:p>
      <w:pPr>
        <w:pStyle w:val="Heading2"/>
      </w:pPr>
      <w:r>
        <w:t>Uygulama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300"/>
        <w:gridCol w:w="27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Konu/risk</w:t>
            </w:r>
          </w:p>
        </w:tc>
        <w:tc>
          <w:tcPr>
            <w:tcW w:type="dxa" w:w="2300"/>
            <w:shd w:fill="4D6765"/>
            <w:tcMar>
              <w:top w:w="90" w:type="dxa"/>
              <w:start w:w="120" w:type="dxa"/>
              <w:bottom w:w="90" w:type="dxa"/>
              <w:end w:w="120" w:type="dxa"/>
            </w:tcMar>
          </w:tcPr>
          <w:p>
            <w:r>
              <w:rPr>
                <w:rFonts w:ascii="Aptos" w:hAnsi="Aptos" w:eastAsia="Aptos"/>
                <w:b/>
                <w:color w:val="FFFFFF"/>
                <w:sz w:val="17"/>
              </w:rPr>
              <w:t>Mevcut durum</w:t>
            </w:r>
          </w:p>
        </w:tc>
        <w:tc>
          <w:tcPr>
            <w:tcW w:type="dxa" w:w="2700"/>
            <w:shd w:fill="4D6765"/>
            <w:tcMar>
              <w:top w:w="90" w:type="dxa"/>
              <w:start w:w="120" w:type="dxa"/>
              <w:bottom w:w="90" w:type="dxa"/>
              <w:end w:w="120" w:type="dxa"/>
            </w:tcMar>
          </w:tcPr>
          <w:p>
            <w:r>
              <w:rPr>
                <w:rFonts w:ascii="Aptos" w:hAnsi="Aptos" w:eastAsia="Aptos"/>
                <w:b/>
                <w:color w:val="FFFFFF"/>
                <w:sz w:val="17"/>
              </w:rPr>
              <w:t>Alınacak önlem</w:t>
            </w:r>
          </w:p>
        </w:tc>
        <w:tc>
          <w:tcPr>
            <w:tcW w:type="dxa" w:w="2560"/>
            <w:shd w:fill="4D6765"/>
            <w:tcMar>
              <w:top w:w="90" w:type="dxa"/>
              <w:start w:w="120" w:type="dxa"/>
              <w:bottom w:w="90" w:type="dxa"/>
              <w:end w:w="120" w:type="dxa"/>
            </w:tcMar>
          </w:tcPr>
          <w:p>
            <w:r>
              <w:rPr>
                <w:rFonts w:ascii="Aptos" w:hAnsi="Aptos" w:eastAsia="Aptos"/>
                <w:b/>
                <w:color w:val="FFFFFF"/>
                <w:sz w:val="17"/>
              </w:rPr>
              <w:t>Sorumlu/tarih</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Beyan/taahhüt sahibi</w:t>
            </w:r>
          </w:p>
        </w:tc>
        <w:tc>
          <w:tcPr>
            <w:tcW w:type="dxa" w:w="4680"/>
            <w:shd w:fill="4D6765"/>
            <w:tcMar>
              <w:top w:w="90" w:type="dxa"/>
              <w:start w:w="120" w:type="dxa"/>
              <w:bottom w:w="90" w:type="dxa"/>
              <w:end w:w="120" w:type="dxa"/>
            </w:tcMar>
          </w:tcPr>
          <w:p>
            <w:r>
              <w:rPr>
                <w:rFonts w:ascii="Aptos" w:hAnsi="Aptos" w:eastAsia="Aptos"/>
                <w:b/>
                <w:color w:val="FFFFFF"/>
                <w:sz w:val="17"/>
              </w:rPr>
              <w:t>Kabul/kontrol</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10. Fotoğraf ve Proje Referansı Kullanım İzin Formu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Kurum/kişi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sürümü/tarih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Kapsam/faaliyet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Sorumlu/onaylayan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Temel hükümler</w:t>
      </w:r>
    </w:p>
    <w:p>
      <w:pPr>
        <w:numPr>
          <w:ilvl w:val="0"/>
          <w:numId w:val="1"/>
        </w:numPr>
      </w:pPr>
      <w:r>
        <w:rPr>
          <w:rFonts w:ascii="Aptos" w:hAnsi="Aptos" w:eastAsia="Aptos"/>
          <w:color w:val="16211F"/>
          <w:sz w:val="22"/>
        </w:rPr>
        <w:t>Görüntüde kişi, plaka, adres veya özel yaşam unsuru varsa kişisel veri ve mülkiyet boyutu ayrıca değerlendirilir.</w:t>
      </w:r>
    </w:p>
    <w:p>
      <w:pPr>
        <w:numPr>
          <w:ilvl w:val="0"/>
          <w:numId w:val="1"/>
        </w:numPr>
      </w:pPr>
      <w:r>
        <w:rPr>
          <w:rFonts w:ascii="Aptos" w:hAnsi="Aptos" w:eastAsia="Aptos"/>
          <w:color w:val="16211F"/>
          <w:sz w:val="22"/>
        </w:rPr>
        <w:t>Kullanım mecrası, amaç, süre, isim/marka gösterimi, düzenleme ve geri çekme/sona erme koşulları açıkça yazılır.</w:t>
      </w:r>
    </w:p>
    <w:p>
      <w:pPr>
        <w:pStyle w:val="Heading2"/>
      </w:pPr>
      <w:r>
        <w:t>Uygulama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300"/>
        <w:gridCol w:w="27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Konu/risk</w:t>
            </w:r>
          </w:p>
        </w:tc>
        <w:tc>
          <w:tcPr>
            <w:tcW w:type="dxa" w:w="2300"/>
            <w:shd w:fill="4D6765"/>
            <w:tcMar>
              <w:top w:w="90" w:type="dxa"/>
              <w:start w:w="120" w:type="dxa"/>
              <w:bottom w:w="90" w:type="dxa"/>
              <w:end w:w="120" w:type="dxa"/>
            </w:tcMar>
          </w:tcPr>
          <w:p>
            <w:r>
              <w:rPr>
                <w:rFonts w:ascii="Aptos" w:hAnsi="Aptos" w:eastAsia="Aptos"/>
                <w:b/>
                <w:color w:val="FFFFFF"/>
                <w:sz w:val="17"/>
              </w:rPr>
              <w:t>Mevcut durum</w:t>
            </w:r>
          </w:p>
        </w:tc>
        <w:tc>
          <w:tcPr>
            <w:tcW w:type="dxa" w:w="2700"/>
            <w:shd w:fill="4D6765"/>
            <w:tcMar>
              <w:top w:w="90" w:type="dxa"/>
              <w:start w:w="120" w:type="dxa"/>
              <w:bottom w:w="90" w:type="dxa"/>
              <w:end w:w="120" w:type="dxa"/>
            </w:tcMar>
          </w:tcPr>
          <w:p>
            <w:r>
              <w:rPr>
                <w:rFonts w:ascii="Aptos" w:hAnsi="Aptos" w:eastAsia="Aptos"/>
                <w:b/>
                <w:color w:val="FFFFFF"/>
                <w:sz w:val="17"/>
              </w:rPr>
              <w:t>Alınacak önlem</w:t>
            </w:r>
          </w:p>
        </w:tc>
        <w:tc>
          <w:tcPr>
            <w:tcW w:type="dxa" w:w="2560"/>
            <w:shd w:fill="4D6765"/>
            <w:tcMar>
              <w:top w:w="90" w:type="dxa"/>
              <w:start w:w="120" w:type="dxa"/>
              <w:bottom w:w="90" w:type="dxa"/>
              <w:end w:w="120" w:type="dxa"/>
            </w:tcMar>
          </w:tcPr>
          <w:p>
            <w:r>
              <w:rPr>
                <w:rFonts w:ascii="Aptos" w:hAnsi="Aptos" w:eastAsia="Aptos"/>
                <w:b/>
                <w:color w:val="FFFFFF"/>
                <w:sz w:val="17"/>
              </w:rPr>
              <w:t>Sorumlu/tarih</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300"/>
            <w:tcMar>
              <w:top w:w="90" w:type="dxa"/>
              <w:start w:w="120" w:type="dxa"/>
              <w:bottom w:w="90" w:type="dxa"/>
              <w:end w:w="120" w:type="dxa"/>
            </w:tcMar>
          </w:tcPr>
          <w:p>
            <w:r>
              <w:rPr>
                <w:rFonts w:ascii="Aptos" w:hAnsi="Aptos" w:eastAsia="Aptos"/>
                <w:color w:val="16211F"/>
                <w:sz w:val="17"/>
              </w:rPr>
              <w:t>[●]</w:t>
            </w:r>
          </w:p>
        </w:tc>
        <w:tc>
          <w:tcPr>
            <w:tcW w:type="dxa" w:w="27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300"/>
            <w:shd w:fill="F8FAF7"/>
            <w:tcMar>
              <w:top w:w="90" w:type="dxa"/>
              <w:start w:w="120" w:type="dxa"/>
              <w:bottom w:w="90" w:type="dxa"/>
              <w:end w:w="120" w:type="dxa"/>
            </w:tcMar>
          </w:tcPr>
          <w:p>
            <w:r>
              <w:rPr>
                <w:rFonts w:ascii="Aptos" w:hAnsi="Aptos" w:eastAsia="Aptos"/>
                <w:color w:val="16211F"/>
                <w:sz w:val="17"/>
              </w:rPr>
              <w:t>[●]</w:t>
            </w:r>
          </w:p>
        </w:tc>
        <w:tc>
          <w:tcPr>
            <w:tcW w:type="dxa" w:w="27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Beyan/taahhüt sahibi</w:t>
            </w:r>
          </w:p>
        </w:tc>
        <w:tc>
          <w:tcPr>
            <w:tcW w:type="dxa" w:w="4680"/>
            <w:shd w:fill="4D6765"/>
            <w:tcMar>
              <w:top w:w="90" w:type="dxa"/>
              <w:start w:w="120" w:type="dxa"/>
              <w:bottom w:w="90" w:type="dxa"/>
              <w:end w:w="120" w:type="dxa"/>
            </w:tcMar>
          </w:tcPr>
          <w:p>
            <w:r>
              <w:rPr>
                <w:rFonts w:ascii="Aptos" w:hAnsi="Aptos" w:eastAsia="Aptos"/>
                <w:b/>
                <w:color w:val="FFFFFF"/>
                <w:sz w:val="17"/>
              </w:rPr>
              <w:t>Kabul/kontrol</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Pr>
      <w:r>
        <w:t>Kaynaklar ve güncellik</w:t>
      </w:r>
    </w:p>
    <w:p>
      <w:r>
        <w:t>Şablonlar hazırlanırken aşağıdaki resmî kaynaklar dikkate alınmıştır. Erişim tarihi: 20 Ağustos 2026. Uygulama öncesinde güncellik kontrolü yapılmalıdır.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hyperlink r:id="rId18">
        <w:r>
          <w:rPr>
            <w:color w:val="4D6765"/>
            <w:u w:val="single"/>
            <w:rFonts w:ascii="Aptos" w:hAnsi="Aptos"/>
          </w:rPr>
          <w:t>Rekabet Kurumu güncel kılavuz duyurusu</w:t>
        </w:r>
      </w:hyperlink>
    </w:p>
    <w:p>
      <w:pPr>
        <w:spacing w:before="80" w:after="40"/>
        <w:shd w:fill="FBF8F1"/>
        <w:pBdr>
          <w:left w:val="single" w:sz="18" w:space="8" w:color="8A6A33"/>
        </w:pBdr>
      </w:pPr>
      <w:r>
        <w:rPr>
          <w:rFonts w:ascii="Aptos" w:hAnsi="Aptos" w:eastAsia="Aptos"/>
          <w:b/>
          <w:color w:val="8A6A33"/>
          <w:sz w:val="18"/>
        </w:rPr>
        <w:t>SORUMLULUK NOTU</w:t>
      </w:r>
    </w:p>
    <w:p>
      <w:pPr>
        <w:spacing w:before="0" w:after="160"/>
        <w:shd w:fill="FBF8F1"/>
        <w:pBdr>
          <w:left w:val="single" w:sz="18" w:space="8" w:color="8A6A33"/>
        </w:pBdr>
      </w:pPr>
      <w:r>
        <w:rPr>
          <w:rFonts w:ascii="Aptos" w:hAnsi="Aptos" w:eastAsia="Aptos"/>
          <w:color w:val="16211F"/>
          <w:sz w:val="20"/>
        </w:rPr>
        <w:t>PEYSED bu şablonların kullanıldığı somut işlemin tarafı, hukuk danışmanı, proje müellifi veya denetçisi değildir. Emredici mevzuat, kamu ihale dokümanı, ruhsat ve yerel idare koşulları her zaman önceliklidir.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 Id="rId18" Type="http://schemas.openxmlformats.org/officeDocument/2006/relationships/hyperlink" Target="https://www.rekabet.gov.tr/tr/Guncel/rekabeti-sinirlayici-anlasma-uyumlu-eyle-b7a82a039aeeef1193e30050568585c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Kurumsal Etik, Rekabet ve Uyum Belgeleri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