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PEYSED-PKT-01</w:t>
      </w:r>
    </w:p>
    <w:p>
      <w:pPr>
        <w:spacing w:after="160"/>
      </w:pPr>
      <w:r>
        <w:rPr>
          <w:rFonts w:ascii="Aptos Display" w:hAnsi="Aptos Display" w:eastAsia="Aptos Display"/>
          <w:b/>
          <w:color w:val="16211F"/>
          <w:sz w:val="50"/>
        </w:rPr>
        <w:t>Peyzaj Sözleşmeleri Ek Paketi</w:t>
      </w:r>
    </w:p>
    <w:p>
      <w:pPr>
        <w:spacing w:after="360"/>
      </w:pPr>
      <w:r>
        <w:rPr>
          <w:rFonts w:ascii="Aptos" w:hAnsi="Aptos" w:eastAsia="Aptos"/>
          <w:color w:val="4D6765"/>
          <w:sz w:val="25"/>
        </w:rPr>
        <w:t>Peyzaj firmalarının sık karşılaştığı on bir iş türü için özel koşul ve sözleşme ekleri.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firmaları, fidanlıklar, site/tesis yönetimleri ve iş sahipleri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Peyzaj Keşif ve Danışmanlık Hizmet Sözleşmesi</w:t>
      </w:r>
    </w:p>
    <w:p>
      <w:pPr>
        <w:numPr>
          <w:ilvl w:val="0"/>
          <w:numId w:val="1"/>
        </w:numPr>
      </w:pPr>
      <w:r>
        <w:rPr>
          <w:rFonts w:ascii="Aptos" w:hAnsi="Aptos" w:eastAsia="Aptos"/>
          <w:color w:val="16211F"/>
          <w:sz w:val="22"/>
        </w:rPr>
        <w:t>Yıllık Peyzaj Bakım Sözleşmesi</w:t>
      </w:r>
    </w:p>
    <w:p>
      <w:pPr>
        <w:numPr>
          <w:ilvl w:val="0"/>
          <w:numId w:val="1"/>
        </w:numPr>
      </w:pPr>
      <w:r>
        <w:rPr>
          <w:rFonts w:ascii="Aptos" w:hAnsi="Aptos" w:eastAsia="Aptos"/>
          <w:color w:val="16211F"/>
          <w:sz w:val="22"/>
        </w:rPr>
        <w:t>Fidanlık ve Bitki Tedarik Sözleşmesi</w:t>
      </w:r>
    </w:p>
    <w:p>
      <w:pPr>
        <w:numPr>
          <w:ilvl w:val="0"/>
          <w:numId w:val="1"/>
        </w:numPr>
      </w:pPr>
      <w:r>
        <w:rPr>
          <w:rFonts w:ascii="Aptos" w:hAnsi="Aptos" w:eastAsia="Aptos"/>
          <w:color w:val="16211F"/>
          <w:sz w:val="22"/>
        </w:rPr>
        <w:t>Bitki Dikim ve Garanti Sözleşmesi</w:t>
      </w:r>
    </w:p>
    <w:p>
      <w:pPr>
        <w:numPr>
          <w:ilvl w:val="0"/>
          <w:numId w:val="1"/>
        </w:numPr>
      </w:pPr>
      <w:r>
        <w:rPr>
          <w:rFonts w:ascii="Aptos" w:hAnsi="Aptos" w:eastAsia="Aptos"/>
          <w:color w:val="16211F"/>
          <w:sz w:val="22"/>
        </w:rPr>
        <w:t>Peyzaj Alt Yüklenici Sözleşmesi</w:t>
      </w:r>
    </w:p>
    <w:p>
      <w:pPr>
        <w:numPr>
          <w:ilvl w:val="0"/>
          <w:numId w:val="1"/>
        </w:numPr>
      </w:pPr>
      <w:r>
        <w:rPr>
          <w:rFonts w:ascii="Aptos" w:hAnsi="Aptos" w:eastAsia="Aptos"/>
          <w:color w:val="16211F"/>
          <w:sz w:val="22"/>
        </w:rPr>
        <w:t>Makine ve Ekipman Kiralama Sözleşmesi</w:t>
      </w:r>
    </w:p>
    <w:p>
      <w:pPr>
        <w:numPr>
          <w:ilvl w:val="0"/>
          <w:numId w:val="1"/>
        </w:numPr>
      </w:pPr>
      <w:r>
        <w:rPr>
          <w:rFonts w:ascii="Aptos" w:hAnsi="Aptos" w:eastAsia="Aptos"/>
          <w:color w:val="16211F"/>
          <w:sz w:val="22"/>
        </w:rPr>
        <w:t>Havuz ve Süs Havuzu Uygulama Sözleşmesi</w:t>
      </w:r>
    </w:p>
    <w:p>
      <w:pPr>
        <w:numPr>
          <w:ilvl w:val="0"/>
          <w:numId w:val="1"/>
        </w:numPr>
      </w:pPr>
      <w:r>
        <w:rPr>
          <w:rFonts w:ascii="Aptos" w:hAnsi="Aptos" w:eastAsia="Aptos"/>
          <w:color w:val="16211F"/>
          <w:sz w:val="22"/>
        </w:rPr>
        <w:t>Drenaj ve Yağmur Suyu Yönetimi Uygulama Sözleşmesi</w:t>
      </w:r>
    </w:p>
    <w:p>
      <w:pPr>
        <w:numPr>
          <w:ilvl w:val="0"/>
          <w:numId w:val="1"/>
        </w:numPr>
      </w:pPr>
      <w:r>
        <w:rPr>
          <w:rFonts w:ascii="Aptos" w:hAnsi="Aptos" w:eastAsia="Aptos"/>
          <w:color w:val="16211F"/>
          <w:sz w:val="22"/>
        </w:rPr>
        <w:t>Sert Zemin ve Kent Mobilyası Uygulama Sözleşmesi</w:t>
      </w:r>
    </w:p>
    <w:p>
      <w:pPr>
        <w:numPr>
          <w:ilvl w:val="0"/>
          <w:numId w:val="1"/>
        </w:numPr>
      </w:pPr>
      <w:r>
        <w:rPr>
          <w:rFonts w:ascii="Aptos" w:hAnsi="Aptos" w:eastAsia="Aptos"/>
          <w:color w:val="16211F"/>
          <w:sz w:val="22"/>
        </w:rPr>
        <w:t>Dikey Bahçe ve Çatı Bahçesi Sözleşmesi</w:t>
      </w:r>
    </w:p>
    <w:p>
      <w:pPr>
        <w:numPr>
          <w:ilvl w:val="0"/>
          <w:numId w:val="1"/>
        </w:numPr>
      </w:pPr>
      <w:r>
        <w:rPr>
          <w:rFonts w:ascii="Aptos" w:hAnsi="Aptos" w:eastAsia="Aptos"/>
          <w:color w:val="16211F"/>
          <w:sz w:val="22"/>
        </w:rPr>
        <w:t>Site Yönetimleri İçin Ortak Alan Bakım Sözleşmesi</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BF8F1"/>
        <w:pBdr>
          <w:left w:val="single" w:sz="18" w:space="8" w:color="8A6A33"/>
        </w:pBdr>
      </w:pPr>
      <w:r>
        <w:rPr>
          <w:rFonts w:ascii="Aptos" w:hAnsi="Aptos" w:eastAsia="Aptos"/>
          <w:b/>
          <w:color w:val="8A6A33"/>
          <w:sz w:val="18"/>
        </w:rPr>
        <w:t>KULLANIM MODELI</w:t>
      </w:r>
    </w:p>
    <w:p>
      <w:pPr>
        <w:spacing w:before="0" w:after="160"/>
        <w:shd w:fill="FBF8F1"/>
        <w:pBdr>
          <w:left w:val="single" w:sz="18" w:space="8" w:color="8A6A33"/>
        </w:pBdr>
      </w:pPr>
      <w:r>
        <w:rPr>
          <w:rFonts w:ascii="Aptos" w:hAnsi="Aptos" w:eastAsia="Aptos"/>
          <w:color w:val="16211F"/>
          <w:sz w:val="20"/>
        </w:rPr>
        <w:t>Her sözleşme için önce taraflar, kapsam, bedel, süre, değişiklik emri, kabul, ayıp/garanti, fesih, kişisel veri ve uyuşmazlık hükümleri doldurulmalı; ardından aşağıdaki işe özel koşullar eklenmelidir. Mevcut PEYSED ana sözleşme şablonları genel hüküm çekirdeği olarak kullanılabilir.</w:t>
      </w:r>
    </w:p>
    <w:p>
      <w:pPr>
        <w:pStyle w:val="Heading1"/>
        <w:pageBreakBefore/>
      </w:pPr>
      <w:r>
        <w:t>1. Peyzaj Keşif ve Danışmanlık Hizmet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PEYSED-SÖZ-EK-01</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Yerinde inceleme, ihtiyaç programı, ölçüm kapsamı, rapor ve keşif bedeli.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Keşif ve danışmanlık ayrı ve ücretli bir mesleki hizmettir; ücret [●] TL + KDV, ödeme zamanı [●].</w:t>
      </w:r>
    </w:p>
    <w:p>
      <w:pPr>
        <w:numPr>
          <w:ilvl w:val="0"/>
          <w:numId w:val="1"/>
        </w:numPr>
      </w:pPr>
      <w:r>
        <w:rPr>
          <w:rFonts w:ascii="Aptos" w:hAnsi="Aptos" w:eastAsia="Aptos"/>
          <w:color w:val="16211F"/>
          <w:sz w:val="22"/>
        </w:rPr>
        <w:t>Teslimler: mevcut durum notu, fotoğraf kaydı, ön riskler, yaklaşık kapsam ve öneri raporu. Hassas ölçüm, zemin etüdü, laboratuvar analizi ve uygulama projesi kapsam dışıdır.</w:t>
      </w:r>
    </w:p>
    <w:p>
      <w:pPr>
        <w:numPr>
          <w:ilvl w:val="0"/>
          <w:numId w:val="1"/>
        </w:numPr>
      </w:pPr>
      <w:r>
        <w:rPr>
          <w:rFonts w:ascii="Aptos" w:hAnsi="Aptos" w:eastAsia="Aptos"/>
          <w:color w:val="16211F"/>
          <w:sz w:val="22"/>
        </w:rPr>
        <w:t>İşveren erişim, mevcut proje/altyapı verisi ve güvenli saha koşulunu sağlar. Görülmeyen altyapı ve doğrulanmamış veriler açık varsayım olarak rapora yazılır.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2. Yıllık Peyzaj Bakım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PEYSED-SÖZ-EK-02</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Aylık program, mevsimsel işler, sarf malzemesi, performans ve fiyat güncellemesi.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Bakım alanı, ziyaret sıklığı, personel-saat, ekipman, sarf ve kapsam dışı yenilemeler Ek-1'de gösterilir.</w:t>
      </w:r>
    </w:p>
    <w:p>
      <w:pPr>
        <w:numPr>
          <w:ilvl w:val="0"/>
          <w:numId w:val="1"/>
        </w:numPr>
      </w:pPr>
      <w:r>
        <w:rPr>
          <w:rFonts w:ascii="Aptos" w:hAnsi="Aptos" w:eastAsia="Aptos"/>
          <w:color w:val="16211F"/>
          <w:sz w:val="22"/>
        </w:rPr>
        <w:t>Aylık servis kaydı ve fotoğraflı rapor hakedişin ekidir. Su/enerji kesintisi, vandalizm, hastalık salgını ve üçüncü kişi müdahalesi ayrıca kaydedilir.</w:t>
      </w:r>
    </w:p>
    <w:p>
      <w:pPr>
        <w:numPr>
          <w:ilvl w:val="0"/>
          <w:numId w:val="1"/>
        </w:numPr>
      </w:pPr>
      <w:r>
        <w:rPr>
          <w:rFonts w:ascii="Aptos" w:hAnsi="Aptos" w:eastAsia="Aptos"/>
          <w:color w:val="16211F"/>
          <w:sz w:val="22"/>
        </w:rPr>
        <w:t>Asgari ücret, akaryakıt, kur ve girdi değişimleri için objektif fiyat güncelleme formülü [●] olarak belirlenir; firmalar arası ortak fiyat kararı oluşturulamaz.</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3. Fidanlık ve Bitki Tedarik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PEYSED-SÖZ-EK-03</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Tür, form, boy, kök sistemi, parti kabulü, nakliye ve reddetme kriterleri.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Botanik ad, çeşit, üretim şekli, boy/çap, kap veya kök topu ölçüsü, adet ve menşe Ek-1 bitki listesinde yazılır.</w:t>
      </w:r>
    </w:p>
    <w:p>
      <w:pPr>
        <w:numPr>
          <w:ilvl w:val="0"/>
          <w:numId w:val="1"/>
        </w:numPr>
      </w:pPr>
      <w:r>
        <w:rPr>
          <w:rFonts w:ascii="Aptos" w:hAnsi="Aptos" w:eastAsia="Aptos"/>
          <w:color w:val="16211F"/>
          <w:sz w:val="22"/>
        </w:rPr>
        <w:t>Yerli üretim tercih edilebilir; ancak menşe tek başına kabul sebebi değildir. Sağlık, form, kök kalitesi, tür doğruluğu ve izlenebilirlik kriterleri karşılanır.</w:t>
      </w:r>
    </w:p>
    <w:p>
      <w:pPr>
        <w:numPr>
          <w:ilvl w:val="0"/>
          <w:numId w:val="1"/>
        </w:numPr>
      </w:pPr>
      <w:r>
        <w:rPr>
          <w:rFonts w:ascii="Aptos" w:hAnsi="Aptos" w:eastAsia="Aptos"/>
          <w:color w:val="16211F"/>
          <w:sz w:val="22"/>
        </w:rPr>
        <w:t>Numune/parti onayı nihai kabul değildir. Nakliye hasarı, kök bozulması, zararlı/hastalık ve tür uyumsuzluğunda tutanakla ret/değişim uygulanır.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4. Bitki Dikim ve Garanti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PEYSED-SÖZ-EK-04</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Dikim hazırlığı, can suyu, tesis bakımı, tutma garantisi ve istisnalar.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Toprak, drenaj, çukur, ankraj, dikim kotu, malç ve sulama yöntemi onaylı detaylara uygun yürütülür.</w:t>
      </w:r>
    </w:p>
    <w:p>
      <w:pPr>
        <w:numPr>
          <w:ilvl w:val="0"/>
          <w:numId w:val="1"/>
        </w:numPr>
      </w:pPr>
      <w:r>
        <w:rPr>
          <w:rFonts w:ascii="Aptos" w:hAnsi="Aptos" w:eastAsia="Aptos"/>
          <w:color w:val="16211F"/>
          <w:sz w:val="22"/>
        </w:rPr>
        <w:t>Garanti süresi [●] aydır. Garanti; düzenli bakım ve sulama kayıtlarının tutulması şartıyla, yüklenici kusuruna bağlı kayıpları kapsar.</w:t>
      </w:r>
    </w:p>
    <w:p>
      <w:pPr>
        <w:numPr>
          <w:ilvl w:val="0"/>
          <w:numId w:val="1"/>
        </w:numPr>
      </w:pPr>
      <w:r>
        <w:rPr>
          <w:rFonts w:ascii="Aptos" w:hAnsi="Aptos" w:eastAsia="Aptos"/>
          <w:color w:val="16211F"/>
          <w:sz w:val="22"/>
        </w:rPr>
        <w:t>Aşırı hava, vandalizm, hayvan zararı, üçüncü kişi müdahalesi, su kalitesi veya bakımın işveren/başka firma tarafından hatalı yapılması belgelenirse sorumluluk kusur oranına göre değerlendirilir.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5. Peyzaj Alt Yüklenici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PEYSED-SÖZ-EK-05</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Ana sözleşmeye uyum, koordinasyon, ödeme, kabul, iş güvenliği ve doğrudan talimat sınırı.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Alt yüklenicinin işi Ek-1 metraj ve teknik şartnameyle sınırlıdır; iş sahibinin doğrudan talimatı ana yüklenicinin yazılı onayı olmadan bedel/süre değişikliği doğurmaz.</w:t>
      </w:r>
    </w:p>
    <w:p>
      <w:pPr>
        <w:numPr>
          <w:ilvl w:val="0"/>
          <w:numId w:val="1"/>
        </w:numPr>
      </w:pPr>
      <w:r>
        <w:rPr>
          <w:rFonts w:ascii="Aptos" w:hAnsi="Aptos" w:eastAsia="Aptos"/>
          <w:color w:val="16211F"/>
          <w:sz w:val="22"/>
        </w:rPr>
        <w:t>Alt yüklenici personel, vergi, SGK ve kendi iş güvenliği yükümlülüklerini yerine getirir; ana yüklenicinin kanunen devredilemeyen sorumlulukları saklıdır.</w:t>
      </w:r>
    </w:p>
    <w:p>
      <w:pPr>
        <w:numPr>
          <w:ilvl w:val="0"/>
          <w:numId w:val="1"/>
        </w:numPr>
      </w:pPr>
      <w:r>
        <w:rPr>
          <w:rFonts w:ascii="Aptos" w:hAnsi="Aptos" w:eastAsia="Aptos"/>
          <w:color w:val="16211F"/>
          <w:sz w:val="22"/>
        </w:rPr>
        <w:t>Hakediş, ölçüm ve kabul düzeni; kesinti/teminat; gizlilik, proje dosyası kullanımı ve alt-alt yüklenici yasağı açıkça doldurulur.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6. Makine ve Ekipman Kiralama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Teslim durumu, operatör, yakıt, bakım, hasar, iş güvenliği ve iade.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Ekipmanın marka/model/seri no, sayaç değeri, aksesuarı ve mevcut hasarı teslim tutanağında fotoğraflanır.</w:t>
      </w:r>
    </w:p>
    <w:p>
      <w:pPr>
        <w:numPr>
          <w:ilvl w:val="0"/>
          <w:numId w:val="1"/>
        </w:numPr>
      </w:pPr>
      <w:r>
        <w:rPr>
          <w:rFonts w:ascii="Aptos" w:hAnsi="Aptos" w:eastAsia="Aptos"/>
          <w:color w:val="16211F"/>
          <w:sz w:val="22"/>
        </w:rPr>
        <w:t>Operatörlü/operatörsüz kullanım, yakıt, nakliye, günlük çalışma limiti, arıza süresi ve yedek ekipman koşulları [●] olarak belirlenir.</w:t>
      </w:r>
    </w:p>
    <w:p>
      <w:pPr>
        <w:numPr>
          <w:ilvl w:val="0"/>
          <w:numId w:val="1"/>
        </w:numPr>
      </w:pPr>
      <w:r>
        <w:rPr>
          <w:rFonts w:ascii="Aptos" w:hAnsi="Aptos" w:eastAsia="Aptos"/>
          <w:color w:val="16211F"/>
          <w:sz w:val="22"/>
        </w:rPr>
        <w:t>Kullanıcı yalnızca yetkin personel çalıştırır; periyodik kontrol ve zorunlu belgeler teslimde doğrulanır. Olağan aşınma ile kullanıcı kusuru ayrıştırılır.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7. Havuz ve Süs Havuzu Uygulama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PEYSED-SÖZ-EK-07</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Su yalıtımı, mekanik-elektrik işler, test, su kalitesi ve bakım devri.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Statik, mekanik, elektrik, su yalıtımı, kaplama, filtrasyon ve otomasyon disiplinlerinin tasarım sorumluları Ek-1'de gösterilir.</w:t>
      </w:r>
    </w:p>
    <w:p>
      <w:pPr>
        <w:numPr>
          <w:ilvl w:val="0"/>
          <w:numId w:val="1"/>
        </w:numPr>
      </w:pPr>
      <w:r>
        <w:rPr>
          <w:rFonts w:ascii="Aptos" w:hAnsi="Aptos" w:eastAsia="Aptos"/>
          <w:color w:val="16211F"/>
          <w:sz w:val="22"/>
        </w:rPr>
        <w:t>Basınç/sızdırmazlık, elektrik güvenliği, debi, filtrasyon ve devreye alma testleri yazılı protokolle yapılır; kimyasal kullanımında güvenlik formları teslim edilir.</w:t>
      </w:r>
    </w:p>
    <w:p>
      <w:pPr>
        <w:numPr>
          <w:ilvl w:val="0"/>
          <w:numId w:val="1"/>
        </w:numPr>
      </w:pPr>
      <w:r>
        <w:rPr>
          <w:rFonts w:ascii="Aptos" w:hAnsi="Aptos" w:eastAsia="Aptos"/>
          <w:color w:val="16211F"/>
          <w:sz w:val="22"/>
        </w:rPr>
        <w:t>Kullanım suyu veya yüzme havuzu niteliği varsa ilgili sağlık ve yerel idare koşulları ayrıca uyarlanır; bu şablon ruhsat/izin yerine geçmez.</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8. Drenaj ve Yağmur Suyu Yönetimi Uygulama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PEYSED-SÖZ-EK-08</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Kotlar, kapasite, deşarj noktası, sızdırma, test ve taşkın sorumluluğu.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Tasarım yağışı, zemin geçirgenliği, kot/rögar verisi ve deşarj izni işveren tarafından sağlanan veya uzman tarafından doğrulanan girdiler olarak yazılır.</w:t>
      </w:r>
    </w:p>
    <w:p>
      <w:pPr>
        <w:numPr>
          <w:ilvl w:val="0"/>
          <w:numId w:val="1"/>
        </w:numPr>
      </w:pPr>
      <w:r>
        <w:rPr>
          <w:rFonts w:ascii="Aptos" w:hAnsi="Aptos" w:eastAsia="Aptos"/>
          <w:color w:val="16211F"/>
          <w:sz w:val="22"/>
        </w:rPr>
        <w:t>Boru, kanal, geotekstil, agrega, rögar, biyolojik hendek ve depolama elemanları onaylı projeye göre uygulanır; kapatılmadan önce fotoğraf ve kot kaydı alınır.</w:t>
      </w:r>
    </w:p>
    <w:p>
      <w:pPr>
        <w:numPr>
          <w:ilvl w:val="0"/>
          <w:numId w:val="1"/>
        </w:numPr>
      </w:pPr>
      <w:r>
        <w:rPr>
          <w:rFonts w:ascii="Aptos" w:hAnsi="Aptos" w:eastAsia="Aptos"/>
          <w:color w:val="16211F"/>
          <w:sz w:val="22"/>
        </w:rPr>
        <w:t>Yetersiz/yanlış başlangıç verisi, üçüncü kişi bağlantısı veya olağanüstü yağış iddiası kayıt ve uzman değerlendirmesiyle incelenir; sınırsız sonuç garantisi verilmez.</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9. Sert Zemin ve Kent Mobilyası Uygulama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PEYSED-SÖZ-EK-09</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Altyapı, numune, tolerans, erişilebilirlik, ankraj ve kabul.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Alt temel, eğim, derz, kaplama, bordür, rampa, hissedilebilir yüzey ve mobilya ankraj detayları onaylı uygulama projesine bağlanır.</w:t>
      </w:r>
    </w:p>
    <w:p>
      <w:pPr>
        <w:numPr>
          <w:ilvl w:val="0"/>
          <w:numId w:val="1"/>
        </w:numPr>
      </w:pPr>
      <w:r>
        <w:rPr>
          <w:rFonts w:ascii="Aptos" w:hAnsi="Aptos" w:eastAsia="Aptos"/>
          <w:color w:val="16211F"/>
          <w:sz w:val="22"/>
        </w:rPr>
        <w:t>Malzeme numunesi görsel onaydır; dayanım ve performans belgeleri ayrıca aranır. Kayma, su birikmesi, kot ve yüzey toleransları şartnamede sayısal belirlenir.</w:t>
      </w:r>
    </w:p>
    <w:p>
      <w:pPr>
        <w:numPr>
          <w:ilvl w:val="0"/>
          <w:numId w:val="1"/>
        </w:numPr>
      </w:pPr>
      <w:r>
        <w:rPr>
          <w:rFonts w:ascii="Aptos" w:hAnsi="Aptos" w:eastAsia="Aptos"/>
          <w:color w:val="16211F"/>
          <w:sz w:val="22"/>
        </w:rPr>
        <w:t>Erişilebilirlik ve ergonomi değerlendirmesi yalnız görselliğe bırakılmaz; geçiş genişliği, kullanım alanı ve bakım erişimi kontrol edilir.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10. Dikey Bahçe ve Çatı Bahçesi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PEYSED-SÖZ-EK-10</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Taşıyıcılık, yalıtım, drenaj, rüzgâr, sulama, bakım erişimi ve performans.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Statik uygunluk, su yalıtımı, kök tutucu katman, drenaj, taşma ve rüzgâr hesabı yetkili disiplinlerce doğrulanmadan uygulamaya başlanmaz.</w:t>
      </w:r>
    </w:p>
    <w:p>
      <w:pPr>
        <w:numPr>
          <w:ilvl w:val="0"/>
          <w:numId w:val="1"/>
        </w:numPr>
      </w:pPr>
      <w:r>
        <w:rPr>
          <w:rFonts w:ascii="Aptos" w:hAnsi="Aptos" w:eastAsia="Aptos"/>
          <w:color w:val="16211F"/>
          <w:sz w:val="22"/>
        </w:rPr>
        <w:t>Bitki seçimi mikroiklim, cephe yönü, yük, sulama suyu ve bakım erişimine göre yapılır. Sistem performansı; canlılık, sızıntısızlık ve hidrolik çalışma ölçütleriyle kabul edilir.</w:t>
      </w:r>
    </w:p>
    <w:p>
      <w:pPr>
        <w:numPr>
          <w:ilvl w:val="0"/>
          <w:numId w:val="1"/>
        </w:numPr>
      </w:pPr>
      <w:r>
        <w:rPr>
          <w:rFonts w:ascii="Aptos" w:hAnsi="Aptos" w:eastAsia="Aptos"/>
          <w:color w:val="16211F"/>
          <w:sz w:val="22"/>
        </w:rPr>
        <w:t>Uzaktan izleme, gübreleme ünitesi, sarf ve periyodik bakım sorumluları ile acil müdahale süresi [●] olarak belirlenir.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11. Site Yönetimleri İçin Ortak Alan Bakım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w:t>
            </w:r>
          </w:p>
        </w:tc>
        <w:tc>
          <w:tcPr>
            <w:tcW w:type="dxa" w:w="6660"/>
            <w:vAlign w:val="center"/>
            <w:tcMar>
              <w:top w:w="90" w:type="dxa"/>
              <w:start w:w="120" w:type="dxa"/>
              <w:bottom w:w="90" w:type="dxa"/>
              <w:end w:w="120" w:type="dxa"/>
            </w:tcMar>
          </w:tcPr>
          <w:p>
            <w:r>
              <w:rPr>
                <w:rFonts w:ascii="Aptos" w:hAnsi="Aptos" w:eastAsia="Aptos"/>
                <w:color w:val="16211F"/>
                <w:sz w:val="19"/>
              </w:rPr>
              <w:t>PEYSED-SÖZ-EK-11</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Taraflar</w:t>
            </w:r>
          </w:p>
        </w:tc>
        <w:tc>
          <w:tcPr>
            <w:tcW w:type="dxa" w:w="6660"/>
            <w:vAlign w:val="center"/>
            <w:tcMar>
              <w:top w:w="90" w:type="dxa"/>
              <w:start w:w="120" w:type="dxa"/>
              <w:bottom w:w="90" w:type="dxa"/>
              <w:end w:w="120" w:type="dxa"/>
            </w:tcMar>
          </w:tcPr>
          <w:p>
            <w:r>
              <w:rPr>
                <w:rFonts w:ascii="Aptos" w:hAnsi="Aptos" w:eastAsia="Aptos"/>
                <w:color w:val="16211F"/>
                <w:sz w:val="19"/>
              </w:rPr>
              <w:t>İş sahibi: [●]</w:t>
              <w:br/>
              <w:t>Hizmet sağlayıcı/yüklenici: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 ve süresi</w:t>
            </w:r>
          </w:p>
        </w:tc>
        <w:tc>
          <w:tcPr>
            <w:tcW w:type="dxa" w:w="6660"/>
            <w:vAlign w:val="center"/>
            <w:tcMar>
              <w:top w:w="90" w:type="dxa"/>
              <w:start w:w="120" w:type="dxa"/>
              <w:bottom w:w="90" w:type="dxa"/>
              <w:end w:w="120" w:type="dxa"/>
            </w:tcMar>
          </w:tcPr>
          <w:p>
            <w:r>
              <w:rPr>
                <w:rFonts w:ascii="Aptos" w:hAnsi="Aptos" w:eastAsia="Aptos"/>
                <w:color w:val="16211F"/>
                <w:sz w:val="19"/>
              </w:rPr>
              <w:t>Yer: [●]</w:t>
              <w:br/>
              <w:t>Başlangıç: [●]  Bitiş/süre: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 ve ödeme</w:t>
            </w:r>
          </w:p>
        </w:tc>
        <w:tc>
          <w:tcPr>
            <w:tcW w:type="dxa" w:w="6660"/>
            <w:vAlign w:val="center"/>
            <w:tcMar>
              <w:top w:w="90" w:type="dxa"/>
              <w:start w:w="120" w:type="dxa"/>
              <w:bottom w:w="90" w:type="dxa"/>
              <w:end w:w="120" w:type="dxa"/>
            </w:tcMar>
          </w:tcPr>
          <w:p>
            <w:r>
              <w:rPr>
                <w:rFonts w:ascii="Aptos" w:hAnsi="Aptos" w:eastAsia="Aptos"/>
                <w:color w:val="16211F"/>
                <w:sz w:val="19"/>
              </w:rPr>
              <w:t>Bedel: [●] TL + KDV</w:t>
              <w:br/>
              <w:t>Ödeme/hakediş: [●]</w:t>
              <w:br/>
              <w:t>Teminat/kesinti: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w:t>
            </w:r>
          </w:p>
        </w:tc>
      </w:tr>
    </w:tbl>
    <w:p>
      <w:pPr>
        <w:pStyle w:val="Heading2"/>
      </w:pPr>
      <w:r>
        <w:t>Amaç ve kapsam</w:t>
      </w:r>
    </w:p>
    <w:p>
      <w:r>
        <w:t>Temsil yetkisi, alan listesi, sakin talepleri, ziyaret planı ve ortak alan güvenliği. Kapsam yalnızca tarih ve sürümü yazılı eklerde belirtilen işlerdir; kapsam dışı veya miktarı değişen işler yazılı değişiklik emri olmadan yürütülmez.</w:t>
      </w:r>
    </w:p>
    <w:p>
      <w:pPr>
        <w:pStyle w:val="Heading2"/>
      </w:pPr>
      <w:r>
        <w:t>İşe özel koşullar</w:t>
      </w:r>
    </w:p>
    <w:p>
      <w:pPr>
        <w:numPr>
          <w:ilvl w:val="0"/>
          <w:numId w:val="1"/>
        </w:numPr>
      </w:pPr>
      <w:r>
        <w:rPr>
          <w:rFonts w:ascii="Aptos" w:hAnsi="Aptos" w:eastAsia="Aptos"/>
          <w:color w:val="16211F"/>
          <w:sz w:val="22"/>
        </w:rPr>
        <w:t>Yönetimin temsil yetkisi ve karar dayanağı sözleşme ekine alınır. Bağımsız bölüm talepleri, yetkili yönetim temsilcisinin yazılı onayı olmadan kapsam değişikliği oluşturmaz.</w:t>
      </w:r>
    </w:p>
    <w:p>
      <w:pPr>
        <w:numPr>
          <w:ilvl w:val="0"/>
          <w:numId w:val="1"/>
        </w:numPr>
      </w:pPr>
      <w:r>
        <w:rPr>
          <w:rFonts w:ascii="Aptos" w:hAnsi="Aptos" w:eastAsia="Aptos"/>
          <w:color w:val="16211F"/>
          <w:sz w:val="22"/>
        </w:rPr>
        <w:t>Çocuk oyun alanı, havuz çevresi, otopark, yol ve ortak altyapı çalışmalarında erişim/kapatma planı ile sakin bilgilendirmesi yönetimle koordine edilir.</w:t>
      </w:r>
    </w:p>
    <w:p>
      <w:pPr>
        <w:numPr>
          <w:ilvl w:val="0"/>
          <w:numId w:val="1"/>
        </w:numPr>
      </w:pPr>
      <w:r>
        <w:rPr>
          <w:rFonts w:ascii="Aptos" w:hAnsi="Aptos" w:eastAsia="Aptos"/>
          <w:color w:val="16211F"/>
          <w:sz w:val="22"/>
        </w:rPr>
        <w:t>Aylık sabit hizmet, ilave iş, acil çağrı, bitki/malzeme tedariki ve atık bertaraf bedelleri birbirinden ayrılır.</w:t>
      </w:r>
    </w:p>
    <w:p>
      <w:pPr>
        <w:pStyle w:val="Heading2"/>
      </w:pPr>
      <w:r>
        <w:t>Ortak sözleşme kontrolü</w:t>
      </w:r>
    </w:p>
    <w:p>
      <w:pPr>
        <w:numPr>
          <w:ilvl w:val="0"/>
          <w:numId w:val="1"/>
        </w:numPr>
      </w:pPr>
      <w:r>
        <w:rPr>
          <w:rFonts w:ascii="Aptos" w:hAnsi="Aptos" w:eastAsia="Aptos"/>
          <w:color w:val="16211F"/>
          <w:sz w:val="22"/>
        </w:rPr>
        <w:t>☐ Tarafların tacir/tüketici/kamu/site yönetimi sıfatı ve temsil yetkisi doğrulandı.</w:t>
      </w:r>
    </w:p>
    <w:p>
      <w:pPr>
        <w:numPr>
          <w:ilvl w:val="0"/>
          <w:numId w:val="1"/>
        </w:numPr>
      </w:pPr>
      <w:r>
        <w:rPr>
          <w:rFonts w:ascii="Aptos" w:hAnsi="Aptos" w:eastAsia="Aptos"/>
          <w:color w:val="16211F"/>
          <w:sz w:val="22"/>
        </w:rPr>
        <w:t>☐ Bedel, KDV/tevkifat, ödeme vadesi, fiyat güncellemesi ve gecikme sonuçları açıklandı.</w:t>
      </w:r>
    </w:p>
    <w:p>
      <w:pPr>
        <w:numPr>
          <w:ilvl w:val="0"/>
          <w:numId w:val="1"/>
        </w:numPr>
      </w:pPr>
      <w:r>
        <w:rPr>
          <w:rFonts w:ascii="Aptos" w:hAnsi="Aptos" w:eastAsia="Aptos"/>
          <w:color w:val="16211F"/>
          <w:sz w:val="22"/>
        </w:rPr>
        <w:t>☐ İş programı, erişim, izin, altyapı verisi ve iş güvenliği koordinasyonu yazıldı.</w:t>
      </w:r>
    </w:p>
    <w:p>
      <w:pPr>
        <w:numPr>
          <w:ilvl w:val="0"/>
          <w:numId w:val="1"/>
        </w:numPr>
      </w:pPr>
      <w:r>
        <w:rPr>
          <w:rFonts w:ascii="Aptos" w:hAnsi="Aptos" w:eastAsia="Aptos"/>
          <w:color w:val="16211F"/>
          <w:sz w:val="22"/>
        </w:rPr>
        <w:t>☐ Değişiklik emri, kayıt, kabul, ayıp bildirimi, garanti ve fesih mekanizması seçildi.</w:t>
      </w:r>
    </w:p>
    <w:p>
      <w:pPr>
        <w:numPr>
          <w:ilvl w:val="0"/>
          <w:numId w:val="1"/>
        </w:numPr>
      </w:pPr>
      <w:r>
        <w:rPr>
          <w:rFonts w:ascii="Aptos" w:hAnsi="Aptos" w:eastAsia="Aptos"/>
          <w:color w:val="16211F"/>
          <w:sz w:val="22"/>
        </w:rPr>
        <w:t>☐ KVKK, gizlilik, fikrî hak, tebligat ve uyuşmazlık hükümleri somut işe uyarlandı.</w:t>
      </w:r>
    </w:p>
    <w:p>
      <w:pPr>
        <w:pStyle w:val="Caption"/>
      </w:pPr>
      <w:r>
        <w:t>İmza bloğu: Paketin sonundaki ortak imza ve ek kontrol sayfası kullanılacaktır.</w:t>
      </w:r>
    </w:p>
    <w:p>
      <w:pPr>
        <w:pStyle w:val="Heading1"/>
        <w:pageBreakBefore/>
      </w:pPr>
      <w:r>
        <w:t>Ortak imza ve ek kontrol sayfası</w:t>
      </w:r>
    </w:p>
    <w:p>
      <w:r>
        <w:t>Bu sayfa, seçilen işe özel sözleşme koşuluyla birlikte imzalanır ve her sözleşme için gerektiği kadar çoğaltılır.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Sözleşme/özel koşul adı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kodu ve sürümü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İş/proje ve 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İmza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 ekleri</w:t>
            </w:r>
          </w:p>
        </w:tc>
        <w:tc>
          <w:tcPr>
            <w:tcW w:type="dxa" w:w="6660"/>
            <w:vAlign w:val="center"/>
            <w:tcMar>
              <w:top w:w="90" w:type="dxa"/>
              <w:start w:w="120" w:type="dxa"/>
              <w:bottom w:w="90" w:type="dxa"/>
              <w:end w:w="120" w:type="dxa"/>
            </w:tcMar>
          </w:tcPr>
          <w:p>
            <w:r>
              <w:rPr>
                <w:rFonts w:ascii="Aptos" w:hAnsi="Aptos" w:eastAsia="Aptos"/>
                <w:color w:val="16211F"/>
                <w:sz w:val="19"/>
              </w:rPr>
              <w:t>Teklif [●] • keşif/metraj [●] • proje/şartname [●] • iş programı [●] • diğer [●]</w:t>
            </w:r>
          </w:p>
        </w:tc>
      </w:tr>
    </w:tbl>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İş sahibi / işveren</w:t>
            </w:r>
          </w:p>
        </w:tc>
        <w:tc>
          <w:tcPr>
            <w:tcW w:type="dxa" w:w="4680"/>
            <w:shd w:fill="4D6765"/>
            <w:tcMar>
              <w:top w:w="90" w:type="dxa"/>
              <w:start w:w="120" w:type="dxa"/>
              <w:bottom w:w="90" w:type="dxa"/>
              <w:end w:w="120" w:type="dxa"/>
            </w:tcMar>
          </w:tcPr>
          <w:p>
            <w:r>
              <w:rPr>
                <w:rFonts w:ascii="Aptos" w:hAnsi="Aptos" w:eastAsia="Aptos"/>
                <w:b/>
                <w:color w:val="FFFFFF"/>
                <w:sz w:val="17"/>
              </w:rPr>
              <w:t>Yüklenici / hizmet sağlayıcı</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Rekabet Kurumu güncel kılavuz duyurusu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rekabet.gov.tr/tr/Guncel/rekabeti-sinirlayici-anlasma-uyumlu-eyle-b7a82a039aeeef1193e30050568585c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Sözleşmeleri Ek Paketi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