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PEYSED-PKT-03</w:t>
      </w:r>
    </w:p>
    <w:p>
      <w:pPr>
        <w:spacing w:after="160"/>
      </w:pPr>
      <w:r>
        <w:rPr>
          <w:rFonts w:ascii="Aptos Display" w:hAnsi="Aptos Display" w:eastAsia="Aptos Display"/>
          <w:b/>
          <w:color w:val="16211F"/>
          <w:sz w:val="50"/>
        </w:rPr>
        <w:t>Peyzaj Teknik Şartnameler Paketi</w:t>
      </w:r>
    </w:p>
    <w:p>
      <w:pPr>
        <w:spacing w:after="360"/>
      </w:pPr>
      <w:r>
        <w:rPr>
          <w:rFonts w:ascii="Aptos" w:hAnsi="Aptos" w:eastAsia="Aptos"/>
          <w:color w:val="4D6765"/>
          <w:sz w:val="25"/>
        </w:rPr>
        <w:t>Bitkiden sert zemine, çatı bahçesinden altyapıya kadar on beş kısa teknik şartname çekirdeği.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Proje müellifleri, uygulama firmaları, fidanlıklar, kontrol ekipleri ve satın alma birimleri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Bitki Temini ve Kabul Şartnamesi</w:t>
      </w:r>
    </w:p>
    <w:p>
      <w:pPr>
        <w:numPr>
          <w:ilvl w:val="0"/>
          <w:numId w:val="1"/>
        </w:numPr>
      </w:pPr>
      <w:r>
        <w:rPr>
          <w:rFonts w:ascii="Aptos" w:hAnsi="Aptos" w:eastAsia="Aptos"/>
          <w:color w:val="16211F"/>
          <w:sz w:val="22"/>
        </w:rPr>
        <w:t>Toprak, Gübre ve Yetiştirme Ortamı Şartnamesi</w:t>
      </w:r>
    </w:p>
    <w:p>
      <w:pPr>
        <w:numPr>
          <w:ilvl w:val="0"/>
          <w:numId w:val="1"/>
        </w:numPr>
      </w:pPr>
      <w:r>
        <w:rPr>
          <w:rFonts w:ascii="Aptos" w:hAnsi="Aptos" w:eastAsia="Aptos"/>
          <w:color w:val="16211F"/>
          <w:sz w:val="22"/>
        </w:rPr>
        <w:t>Ağaç ve Çalı Dikim Şartnamesi</w:t>
      </w:r>
    </w:p>
    <w:p>
      <w:pPr>
        <w:numPr>
          <w:ilvl w:val="0"/>
          <w:numId w:val="1"/>
        </w:numPr>
      </w:pPr>
      <w:r>
        <w:rPr>
          <w:rFonts w:ascii="Aptos" w:hAnsi="Aptos" w:eastAsia="Aptos"/>
          <w:color w:val="16211F"/>
          <w:sz w:val="22"/>
        </w:rPr>
        <w:t>Hazır Rulo Çim Uygulama Şartnamesi</w:t>
      </w:r>
    </w:p>
    <w:p>
      <w:pPr>
        <w:numPr>
          <w:ilvl w:val="0"/>
          <w:numId w:val="1"/>
        </w:numPr>
      </w:pPr>
      <w:r>
        <w:rPr>
          <w:rFonts w:ascii="Aptos" w:hAnsi="Aptos" w:eastAsia="Aptos"/>
          <w:color w:val="16211F"/>
          <w:sz w:val="22"/>
        </w:rPr>
        <w:t>Çim Tohumu ile Tesis Şartnamesi</w:t>
      </w:r>
    </w:p>
    <w:p>
      <w:pPr>
        <w:numPr>
          <w:ilvl w:val="0"/>
          <w:numId w:val="1"/>
        </w:numPr>
      </w:pPr>
      <w:r>
        <w:rPr>
          <w:rFonts w:ascii="Aptos" w:hAnsi="Aptos" w:eastAsia="Aptos"/>
          <w:color w:val="16211F"/>
          <w:sz w:val="22"/>
        </w:rPr>
        <w:t>Budama ve Ağaç Bakım Şartnamesi</w:t>
      </w:r>
    </w:p>
    <w:p>
      <w:pPr>
        <w:numPr>
          <w:ilvl w:val="0"/>
          <w:numId w:val="1"/>
        </w:numPr>
      </w:pPr>
      <w:r>
        <w:rPr>
          <w:rFonts w:ascii="Aptos" w:hAnsi="Aptos" w:eastAsia="Aptos"/>
          <w:color w:val="16211F"/>
          <w:sz w:val="22"/>
        </w:rPr>
        <w:t>Otomatik Sulama Malzeme Şartnamesi</w:t>
      </w:r>
    </w:p>
    <w:p>
      <w:pPr>
        <w:numPr>
          <w:ilvl w:val="0"/>
          <w:numId w:val="1"/>
        </w:numPr>
      </w:pPr>
      <w:r>
        <w:rPr>
          <w:rFonts w:ascii="Aptos" w:hAnsi="Aptos" w:eastAsia="Aptos"/>
          <w:color w:val="16211F"/>
          <w:sz w:val="22"/>
        </w:rPr>
        <w:t>Drenaj ve Yağmur Suyu Yönetimi Şartnamesi</w:t>
      </w:r>
    </w:p>
    <w:p>
      <w:pPr>
        <w:numPr>
          <w:ilvl w:val="0"/>
          <w:numId w:val="1"/>
        </w:numPr>
      </w:pPr>
      <w:r>
        <w:rPr>
          <w:rFonts w:ascii="Aptos" w:hAnsi="Aptos" w:eastAsia="Aptos"/>
          <w:color w:val="16211F"/>
          <w:sz w:val="22"/>
        </w:rPr>
        <w:t>Çatı Bahçesi Teknik Şartnamesi</w:t>
      </w:r>
    </w:p>
    <w:p>
      <w:pPr>
        <w:numPr>
          <w:ilvl w:val="0"/>
          <w:numId w:val="1"/>
        </w:numPr>
      </w:pPr>
      <w:r>
        <w:rPr>
          <w:rFonts w:ascii="Aptos" w:hAnsi="Aptos" w:eastAsia="Aptos"/>
          <w:color w:val="16211F"/>
          <w:sz w:val="22"/>
        </w:rPr>
        <w:t>Dikey Bahçe Teknik Şartnamesi</w:t>
      </w:r>
    </w:p>
    <w:p>
      <w:pPr>
        <w:numPr>
          <w:ilvl w:val="0"/>
          <w:numId w:val="1"/>
        </w:numPr>
      </w:pPr>
      <w:r>
        <w:rPr>
          <w:rFonts w:ascii="Aptos" w:hAnsi="Aptos" w:eastAsia="Aptos"/>
          <w:color w:val="16211F"/>
          <w:sz w:val="22"/>
        </w:rPr>
        <w:t>Sert Zemin Uygulama Şartnamesi</w:t>
      </w:r>
    </w:p>
    <w:p>
      <w:pPr>
        <w:numPr>
          <w:ilvl w:val="0"/>
          <w:numId w:val="1"/>
        </w:numPr>
      </w:pPr>
      <w:r>
        <w:rPr>
          <w:rFonts w:ascii="Aptos" w:hAnsi="Aptos" w:eastAsia="Aptos"/>
          <w:color w:val="16211F"/>
          <w:sz w:val="22"/>
        </w:rPr>
        <w:t>Kent Mobilyaları ve Dış Mekân Aksesuarları Şartnamesi</w:t>
      </w:r>
    </w:p>
    <w:p>
      <w:pPr>
        <w:numPr>
          <w:ilvl w:val="0"/>
          <w:numId w:val="1"/>
        </w:numPr>
      </w:pPr>
      <w:r>
        <w:rPr>
          <w:rFonts w:ascii="Aptos" w:hAnsi="Aptos" w:eastAsia="Aptos"/>
          <w:color w:val="16211F"/>
          <w:sz w:val="22"/>
        </w:rPr>
        <w:t>Aydınlatma ve Dış Mekân Elektrik Altyapısı Şartnamesi</w:t>
      </w:r>
    </w:p>
    <w:p>
      <w:pPr>
        <w:numPr>
          <w:ilvl w:val="0"/>
          <w:numId w:val="1"/>
        </w:numPr>
      </w:pPr>
      <w:r>
        <w:rPr>
          <w:rFonts w:ascii="Aptos" w:hAnsi="Aptos" w:eastAsia="Aptos"/>
          <w:color w:val="16211F"/>
          <w:sz w:val="22"/>
        </w:rPr>
        <w:t>Yerli Bitki Üretim ve Kalite Standardı</w:t>
      </w:r>
    </w:p>
    <w:p>
      <w:pPr>
        <w:numPr>
          <w:ilvl w:val="0"/>
          <w:numId w:val="1"/>
        </w:numPr>
      </w:pPr>
      <w:r>
        <w:rPr>
          <w:rFonts w:ascii="Aptos" w:hAnsi="Aptos" w:eastAsia="Aptos"/>
          <w:color w:val="16211F"/>
          <w:sz w:val="22"/>
        </w:rPr>
        <w:t>Fidanlık Ürün Sınıflandırma ve Kabul Kriterleri</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BF8F1"/>
        <w:pBdr>
          <w:left w:val="single" w:sz="18" w:space="8" w:color="8A6A33"/>
        </w:pBdr>
      </w:pPr>
      <w:r>
        <w:rPr>
          <w:rFonts w:ascii="Aptos" w:hAnsi="Aptos" w:eastAsia="Aptos"/>
          <w:b/>
          <w:color w:val="8A6A33"/>
          <w:sz w:val="18"/>
        </w:rPr>
        <w:t>TEKNIK SORUMLULUK</w:t>
      </w:r>
    </w:p>
    <w:p>
      <w:pPr>
        <w:spacing w:before="0" w:after="160"/>
        <w:shd w:fill="FBF8F1"/>
        <w:pBdr>
          <w:left w:val="single" w:sz="18" w:space="8" w:color="8A6A33"/>
        </w:pBdr>
      </w:pPr>
      <w:r>
        <w:rPr>
          <w:rFonts w:ascii="Aptos" w:hAnsi="Aptos" w:eastAsia="Aptos"/>
          <w:color w:val="16211F"/>
          <w:sz w:val="20"/>
        </w:rPr>
        <w:t>Bu metinler performans ve kabul başlıklarını hatırlatan şablonlardır. Taşıyıcılık, elektrik, mekanik, su yalıtımı, geoteknik, yangın, ruhsat ve benzeri uzmanlık alanlarında yetkili disiplin projesi ve güncel standartlar ayrıca aranır.</w:t>
      </w:r>
    </w:p>
    <w:p>
      <w:pPr>
        <w:pStyle w:val="Heading1"/>
        <w:pageBreakBefore/>
      </w:pPr>
      <w:r>
        <w:t>1. Bitki Temini ve Kabul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PEYSED-ŞRT-EK-01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Botanik ad, kültivar, üretim yöntemi, boy/çap, kap veya kök topu ölçüsü ve parti izlenebilirliği zorunludur.</w:t>
      </w:r>
    </w:p>
    <w:p>
      <w:pPr>
        <w:numPr>
          <w:ilvl w:val="0"/>
          <w:numId w:val="1"/>
        </w:numPr>
      </w:pPr>
      <w:r>
        <w:rPr>
          <w:rFonts w:ascii="Aptos" w:hAnsi="Aptos" w:eastAsia="Aptos"/>
          <w:color w:val="16211F"/>
          <w:sz w:val="22"/>
        </w:rPr>
        <w:t>Bitki sağlıklı, dengeli formlu, türüne özgü gelişimde; kök boğazı görünür ve kök sistemi kap içinde aşırı sarmal yapmamış olmalıdır.</w:t>
      </w:r>
    </w:p>
    <w:p>
      <w:pPr>
        <w:numPr>
          <w:ilvl w:val="0"/>
          <w:numId w:val="1"/>
        </w:numPr>
      </w:pPr>
      <w:r>
        <w:rPr>
          <w:rFonts w:ascii="Aptos" w:hAnsi="Aptos" w:eastAsia="Aptos"/>
          <w:color w:val="16211F"/>
          <w:sz w:val="22"/>
        </w:rPr>
        <w:t>Yerli üretim tercih kriteri kalite, iklim uyumu ve izlenebilirlikle birlikte değerlendirilir; numune onayı parti kabulünün yerine geçmez.</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2. Toprak, Gübre ve Yetiştirme Ortamı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PEYSED-ŞRT-EK-02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Kaynak, doku, organik madde, pH, tuzluluk, drenaj ve gerekli analiz sıklığı proje özelinde yazılır.</w:t>
      </w:r>
    </w:p>
    <w:p>
      <w:pPr>
        <w:numPr>
          <w:ilvl w:val="0"/>
          <w:numId w:val="1"/>
        </w:numPr>
      </w:pPr>
      <w:r>
        <w:rPr>
          <w:rFonts w:ascii="Aptos" w:hAnsi="Aptos" w:eastAsia="Aptos"/>
          <w:color w:val="16211F"/>
          <w:sz w:val="22"/>
        </w:rPr>
        <w:t>Dolgu/toprak serimi sıkışmayı önleyecek koşullarda ve onaylı kotlarda yapılır; yabancı madde ve istilacı kök/rizom kabul edilmez.</w:t>
      </w:r>
    </w:p>
    <w:p>
      <w:pPr>
        <w:numPr>
          <w:ilvl w:val="0"/>
          <w:numId w:val="1"/>
        </w:numPr>
      </w:pPr>
      <w:r>
        <w:rPr>
          <w:rFonts w:ascii="Aptos" w:hAnsi="Aptos" w:eastAsia="Aptos"/>
          <w:color w:val="16211F"/>
          <w:sz w:val="22"/>
        </w:rPr>
        <w:t>Gübre ve iyileştirici ürünler analiz ve üretici talimatına göre uygulanır; reçete dışı uygulama yapılmaz.</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3. Ağaç ve Çalı Dikim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PEYSED-ŞRT-EK-03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Dikim çukuru, kök boğazı kotu, ankraj, can suyu, malç ve budama detayları tür ve saha koşuluna göre uygulanır.</w:t>
      </w:r>
    </w:p>
    <w:p>
      <w:pPr>
        <w:numPr>
          <w:ilvl w:val="0"/>
          <w:numId w:val="1"/>
        </w:numPr>
      </w:pPr>
      <w:r>
        <w:rPr>
          <w:rFonts w:ascii="Aptos" w:hAnsi="Aptos" w:eastAsia="Aptos"/>
          <w:color w:val="16211F"/>
          <w:sz w:val="22"/>
        </w:rPr>
        <w:t>Kök topu ve gövde korunur; taşıma ve geçici depolamada kuruma, don ve mekanik hasar engellenir.</w:t>
      </w:r>
    </w:p>
    <w:p>
      <w:pPr>
        <w:numPr>
          <w:ilvl w:val="0"/>
          <w:numId w:val="1"/>
        </w:numPr>
      </w:pPr>
      <w:r>
        <w:rPr>
          <w:rFonts w:ascii="Aptos" w:hAnsi="Aptos" w:eastAsia="Aptos"/>
          <w:color w:val="16211F"/>
          <w:sz w:val="22"/>
        </w:rPr>
        <w:t>Dikim sonrası etiket, konum, tarih ve bakım sorumlusu kayıt altına alınır.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4. Hazır Rulo Çim Uygulama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PEYSED-ŞRT-EK-04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Alt toprak tesviyesi, drenaj, yabancı ot kontrolü ve başlangıç gübrelemesi uygulama öncesi onaylanır.</w:t>
      </w:r>
    </w:p>
    <w:p>
      <w:pPr>
        <w:numPr>
          <w:ilvl w:val="0"/>
          <w:numId w:val="1"/>
        </w:numPr>
      </w:pPr>
      <w:r>
        <w:rPr>
          <w:rFonts w:ascii="Aptos" w:hAnsi="Aptos" w:eastAsia="Aptos"/>
          <w:color w:val="16211F"/>
          <w:sz w:val="22"/>
        </w:rPr>
        <w:t>Rulolar taze, homojen ve tür/karışım bilgisi belgeli olmalı; şaşırtmalı ve boşluksuz serilmelidir.</w:t>
      </w:r>
    </w:p>
    <w:p>
      <w:pPr>
        <w:numPr>
          <w:ilvl w:val="0"/>
          <w:numId w:val="1"/>
        </w:numPr>
      </w:pPr>
      <w:r>
        <w:rPr>
          <w:rFonts w:ascii="Aptos" w:hAnsi="Aptos" w:eastAsia="Aptos"/>
          <w:color w:val="16211F"/>
          <w:sz w:val="22"/>
        </w:rPr>
        <w:t>İlk sulama, silindirleme, biçim ve kabul ölçütleri iklim ile su kısıtına göre yazılır.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5. Çim Tohumu ile Tesis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PEYSED-ŞRT-EK-05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Tohum karışımı, sertifika, safiyet/çimlenme oranı, ekim miktarı ve mevsim şartı belirtilir.</w:t>
      </w:r>
    </w:p>
    <w:p>
      <w:pPr>
        <w:numPr>
          <w:ilvl w:val="0"/>
          <w:numId w:val="1"/>
        </w:numPr>
      </w:pPr>
      <w:r>
        <w:rPr>
          <w:rFonts w:ascii="Aptos" w:hAnsi="Aptos" w:eastAsia="Aptos"/>
          <w:color w:val="16211F"/>
          <w:sz w:val="22"/>
        </w:rPr>
        <w:t>Yatak hazırlığı, ekim yönü, kapatma, sulama ve ilk biçim kayıt altına alınır.</w:t>
      </w:r>
    </w:p>
    <w:p>
      <w:pPr>
        <w:numPr>
          <w:ilvl w:val="0"/>
          <w:numId w:val="1"/>
        </w:numPr>
      </w:pPr>
      <w:r>
        <w:rPr>
          <w:rFonts w:ascii="Aptos" w:hAnsi="Aptos" w:eastAsia="Aptos"/>
          <w:color w:val="16211F"/>
          <w:sz w:val="22"/>
        </w:rPr>
        <w:t>Kabul; homojenlik, kaplama oranı, yabancı ot ve boşluk kriterleriyle yapılır.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6. Budama ve Ağaç Bakım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PEYSED-ŞRT-EK-06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İşin amacı sağlık, güvenlik, yapı veya görüş açıklığı olarak tanımlanır; gereksiz tepe kesimi yapılmaz.</w:t>
      </w:r>
    </w:p>
    <w:p>
      <w:pPr>
        <w:numPr>
          <w:ilvl w:val="0"/>
          <w:numId w:val="1"/>
        </w:numPr>
      </w:pPr>
      <w:r>
        <w:rPr>
          <w:rFonts w:ascii="Aptos" w:hAnsi="Aptos" w:eastAsia="Aptos"/>
          <w:color w:val="16211F"/>
          <w:sz w:val="22"/>
        </w:rPr>
        <w:t>Yetkin personel, uygun ekipman, düşen dal kontrol alanı ve dezenfeksiyon prosedürü sağlanır.</w:t>
      </w:r>
    </w:p>
    <w:p>
      <w:pPr>
        <w:numPr>
          <w:ilvl w:val="0"/>
          <w:numId w:val="1"/>
        </w:numPr>
      </w:pPr>
      <w:r>
        <w:rPr>
          <w:rFonts w:ascii="Aptos" w:hAnsi="Aptos" w:eastAsia="Aptos"/>
          <w:color w:val="16211F"/>
          <w:sz w:val="22"/>
        </w:rPr>
        <w:t>Korunacak ağaç, kesim sınırı, yara ve atık yönetimi fotoğraflı kayıtla izlenir.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7. Otomatik Sulama Malzeme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PEYSED-ŞRT-EK-07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Boru, ek parça, vana, filtre, regülatör, başlık, damlatıcı, kontrolör ve kablo için basınç/debi ve uyumluluk kriterleri yazılır.</w:t>
      </w:r>
    </w:p>
    <w:p>
      <w:pPr>
        <w:numPr>
          <w:ilvl w:val="0"/>
          <w:numId w:val="1"/>
        </w:numPr>
      </w:pPr>
      <w:r>
        <w:rPr>
          <w:rFonts w:ascii="Aptos" w:hAnsi="Aptos" w:eastAsia="Aptos"/>
          <w:color w:val="16211F"/>
          <w:sz w:val="22"/>
        </w:rPr>
        <w:t>Aynı zon içinde yağmurlama hızı uyumu ve üretici basınç aralığı korunur; servis/yedek parça erişimi değerlendirilir.</w:t>
      </w:r>
    </w:p>
    <w:p>
      <w:pPr>
        <w:numPr>
          <w:ilvl w:val="0"/>
          <w:numId w:val="1"/>
        </w:numPr>
      </w:pPr>
      <w:r>
        <w:rPr>
          <w:rFonts w:ascii="Aptos" w:hAnsi="Aptos" w:eastAsia="Aptos"/>
          <w:color w:val="16211F"/>
          <w:sz w:val="22"/>
        </w:rPr>
        <w:t>Ürün belgeleri, garanti, seri/model ve devreye alma ayarları teslim dosyasına eklenir.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8. Drenaj ve Yağmur Suyu Yönetimi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PEYSED-ŞRT-EK-08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Tasarım yağışı, havza, geçirgenlik, depolama ve deşarj varsayımları proje müellifince belirtilir.</w:t>
      </w:r>
    </w:p>
    <w:p>
      <w:pPr>
        <w:numPr>
          <w:ilvl w:val="0"/>
          <w:numId w:val="1"/>
        </w:numPr>
      </w:pPr>
      <w:r>
        <w:rPr>
          <w:rFonts w:ascii="Aptos" w:hAnsi="Aptos" w:eastAsia="Aptos"/>
          <w:color w:val="16211F"/>
          <w:sz w:val="22"/>
        </w:rPr>
        <w:t>Boru eğimi, yataklama, geotekstil, agrega, rögar, temizleme erişimi ve taşma güzergâhı detaylandırılır.</w:t>
      </w:r>
    </w:p>
    <w:p>
      <w:pPr>
        <w:numPr>
          <w:ilvl w:val="0"/>
          <w:numId w:val="1"/>
        </w:numPr>
      </w:pPr>
      <w:r>
        <w:rPr>
          <w:rFonts w:ascii="Aptos" w:hAnsi="Aptos" w:eastAsia="Aptos"/>
          <w:color w:val="16211F"/>
          <w:sz w:val="22"/>
        </w:rPr>
        <w:t>Kapatma öncesi kot/fotoğraf, akış ve sızdırma testleri yapılır.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9. Çatı Bahçesi Teknik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PEYSED-ŞRT-EK-09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Statik kapasite, yalıtım ve kök dayanımı yetkili disiplinlerce doğrulanır; koruyucu katmanlar uygulama sırasına göre tanımlanır.</w:t>
      </w:r>
    </w:p>
    <w:p>
      <w:pPr>
        <w:numPr>
          <w:ilvl w:val="0"/>
          <w:numId w:val="1"/>
        </w:numPr>
      </w:pPr>
      <w:r>
        <w:rPr>
          <w:rFonts w:ascii="Aptos" w:hAnsi="Aptos" w:eastAsia="Aptos"/>
          <w:color w:val="16211F"/>
          <w:sz w:val="22"/>
        </w:rPr>
        <w:t>Drenaj, filtre, yetiştirme ortamı, rüzgâr ve taşma güvenliği ile bakım erişimi birlikte çözülür.</w:t>
      </w:r>
    </w:p>
    <w:p>
      <w:pPr>
        <w:numPr>
          <w:ilvl w:val="0"/>
          <w:numId w:val="1"/>
        </w:numPr>
      </w:pPr>
      <w:r>
        <w:rPr>
          <w:rFonts w:ascii="Aptos" w:hAnsi="Aptos" w:eastAsia="Aptos"/>
          <w:color w:val="16211F"/>
          <w:sz w:val="22"/>
        </w:rPr>
        <w:t>Bitki seçimi yük, derinlik, mikroiklim ve sulama kapasitesine göre yapılır.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10. Dikey Bahçe Teknik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PEYSED-ŞRT-EK-10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Taşıyıcı, modül, kök ortamı, sulama/gübreleme, drenaj toplama ve kaçak algılama bileşenleri tariflenir.</w:t>
      </w:r>
    </w:p>
    <w:p>
      <w:pPr>
        <w:numPr>
          <w:ilvl w:val="0"/>
          <w:numId w:val="1"/>
        </w:numPr>
      </w:pPr>
      <w:r>
        <w:rPr>
          <w:rFonts w:ascii="Aptos" w:hAnsi="Aptos" w:eastAsia="Aptos"/>
          <w:color w:val="16211F"/>
          <w:sz w:val="22"/>
        </w:rPr>
        <w:t>Cephe yönü, ışık, rüzgâr, erişim ve acil bakım senaryosu projede gösterilir.</w:t>
      </w:r>
    </w:p>
    <w:p>
      <w:pPr>
        <w:numPr>
          <w:ilvl w:val="0"/>
          <w:numId w:val="1"/>
        </w:numPr>
      </w:pPr>
      <w:r>
        <w:rPr>
          <w:rFonts w:ascii="Aptos" w:hAnsi="Aptos" w:eastAsia="Aptos"/>
          <w:color w:val="16211F"/>
          <w:sz w:val="22"/>
        </w:rPr>
        <w:t>Kabul; sızdırmazlık, hidrolik homojenlik, sabitleme ve canlılık ölçütleriyle yapılır.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11. Sert Zemin Uygulama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PEYSED-ŞRT-EK-11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Zemin hazırlığı, alt temel, sıkışma, eğim, derz, kenar kısıtlama ve yüzey toleransları ölçülebilir yazılır.</w:t>
      </w:r>
    </w:p>
    <w:p>
      <w:pPr>
        <w:numPr>
          <w:ilvl w:val="0"/>
          <w:numId w:val="1"/>
        </w:numPr>
      </w:pPr>
      <w:r>
        <w:rPr>
          <w:rFonts w:ascii="Aptos" w:hAnsi="Aptos" w:eastAsia="Aptos"/>
          <w:color w:val="16211F"/>
          <w:sz w:val="22"/>
        </w:rPr>
        <w:t>Kaymazlık, erişilebilirlik, drenaj ve bitişik imalat kotları numune alan üzerinden doğrulanır.</w:t>
      </w:r>
    </w:p>
    <w:p>
      <w:pPr>
        <w:numPr>
          <w:ilvl w:val="0"/>
          <w:numId w:val="1"/>
        </w:numPr>
      </w:pPr>
      <w:r>
        <w:rPr>
          <w:rFonts w:ascii="Aptos" w:hAnsi="Aptos" w:eastAsia="Aptos"/>
          <w:color w:val="16211F"/>
          <w:sz w:val="22"/>
        </w:rPr>
        <w:t>Kapatılan alt katmanlar için fotoğraf, kalınlık ve deney kayıtları tutulur.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12. Kent Mobilyaları ve Dış Mekân Aksesuarları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PEYSED-ŞRT-EK-12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Malzeme, kaplama, bağlantı, korozyon, vandalizm, ergonomi ve yedek parça kriterleri tanımlanır.</w:t>
      </w:r>
    </w:p>
    <w:p>
      <w:pPr>
        <w:numPr>
          <w:ilvl w:val="0"/>
          <w:numId w:val="1"/>
        </w:numPr>
      </w:pPr>
      <w:r>
        <w:rPr>
          <w:rFonts w:ascii="Aptos" w:hAnsi="Aptos" w:eastAsia="Aptos"/>
          <w:color w:val="16211F"/>
          <w:sz w:val="22"/>
        </w:rPr>
        <w:t>Oturma, geçiş, tekerlekli sandalye yaklaşımı ve bakım alanları projede kontrol edilir.</w:t>
      </w:r>
    </w:p>
    <w:p>
      <w:pPr>
        <w:numPr>
          <w:ilvl w:val="0"/>
          <w:numId w:val="1"/>
        </w:numPr>
      </w:pPr>
      <w:r>
        <w:rPr>
          <w:rFonts w:ascii="Aptos" w:hAnsi="Aptos" w:eastAsia="Aptos"/>
          <w:color w:val="16211F"/>
          <w:sz w:val="22"/>
        </w:rPr>
        <w:t>Ankraj ve temel detayları statik/zemin koşullarına uygun uygulanır; keskin kenar ve sıkışma riski kabul edilmez.</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13. Aydınlatma ve Dış Mekân Elektrik Altyapısı Şartnamesi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PEYSED-ŞRT-EK-13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Elektrik tasarımı yetkili disiplin tarafından hazırlanır; koruma sınıfı, kaçak akım, topraklama ve kablo güzergâhı projede gösterilir.</w:t>
      </w:r>
    </w:p>
    <w:p>
      <w:pPr>
        <w:numPr>
          <w:ilvl w:val="0"/>
          <w:numId w:val="1"/>
        </w:numPr>
      </w:pPr>
      <w:r>
        <w:rPr>
          <w:rFonts w:ascii="Aptos" w:hAnsi="Aptos" w:eastAsia="Aptos"/>
          <w:color w:val="16211F"/>
          <w:sz w:val="22"/>
        </w:rPr>
        <w:t>Armatür yerleşimi görsel etki kadar kamaşma, güvenlik, bakım erişimi ve bitki gelişimini dikkate alır.</w:t>
      </w:r>
    </w:p>
    <w:p>
      <w:pPr>
        <w:numPr>
          <w:ilvl w:val="0"/>
          <w:numId w:val="1"/>
        </w:numPr>
      </w:pPr>
      <w:r>
        <w:rPr>
          <w:rFonts w:ascii="Aptos" w:hAnsi="Aptos" w:eastAsia="Aptos"/>
          <w:color w:val="16211F"/>
          <w:sz w:val="22"/>
        </w:rPr>
        <w:t>Ölçüm, fonksiyon testi, pano etiketi ve as-built teslimi kabul öncesi tamamlanır.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14. Yerli Bitki Üretim ve Kalite Standardı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PEYSED-ŞRT-EK-14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Yerli üretim; üretim yeri, parti ve çoğaltım materyali kayıtlarıyla izlenebilir olmalıdır.</w:t>
      </w:r>
    </w:p>
    <w:p>
      <w:pPr>
        <w:numPr>
          <w:ilvl w:val="0"/>
          <w:numId w:val="1"/>
        </w:numPr>
      </w:pPr>
      <w:r>
        <w:rPr>
          <w:rFonts w:ascii="Aptos" w:hAnsi="Aptos" w:eastAsia="Aptos"/>
          <w:color w:val="16211F"/>
          <w:sz w:val="22"/>
        </w:rPr>
        <w:t>Tür doğruluğu, kök/gövde sağlığı, form, hastalık-zararlı kontrolü, sertleştirme ve sevkiyat koşulları sınıf bazında tanımlanır.</w:t>
      </w:r>
    </w:p>
    <w:p>
      <w:pPr>
        <w:numPr>
          <w:ilvl w:val="0"/>
          <w:numId w:val="1"/>
        </w:numPr>
      </w:pPr>
      <w:r>
        <w:rPr>
          <w:rFonts w:ascii="Aptos" w:hAnsi="Aptos" w:eastAsia="Aptos"/>
          <w:color w:val="16211F"/>
          <w:sz w:val="22"/>
        </w:rPr>
        <w:t>Kamu ve özel alımlarda yerli üretim teşviki, rekabet ve ihale mevzuatına uygun, ölçülebilir kalite kriterleriyle birlikte kurgulanır.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ageBreakBefore/>
      </w:pPr>
      <w:r>
        <w:t>15. Fidanlık Ürün Sınıflandırma ve Kabul Kriterleri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 kodu/sürümü</w:t>
            </w:r>
          </w:p>
        </w:tc>
        <w:tc>
          <w:tcPr>
            <w:tcW w:type="dxa" w:w="6660"/>
            <w:vAlign w:val="center"/>
            <w:tcMar>
              <w:top w:w="90" w:type="dxa"/>
              <w:start w:w="120" w:type="dxa"/>
              <w:bottom w:w="90" w:type="dxa"/>
              <w:end w:w="120" w:type="dxa"/>
            </w:tcMar>
          </w:tcPr>
          <w:p>
            <w:r>
              <w:rPr>
                <w:rFonts w:ascii="Aptos" w:hAnsi="Aptos" w:eastAsia="Aptos"/>
                <w:color w:val="16211F"/>
                <w:sz w:val="19"/>
              </w:rPr>
              <w:t>PEYSED-ŞRT-EK-15 /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İlgili çizim/detay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Ürün/imalat sınıfı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Numune/deney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sorumluları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Asgari teknik kriterler</w:t>
      </w:r>
    </w:p>
    <w:p>
      <w:pPr>
        <w:numPr>
          <w:ilvl w:val="0"/>
          <w:numId w:val="1"/>
        </w:numPr>
      </w:pPr>
      <w:r>
        <w:rPr>
          <w:rFonts w:ascii="Aptos" w:hAnsi="Aptos" w:eastAsia="Aptos"/>
          <w:color w:val="16211F"/>
          <w:sz w:val="22"/>
        </w:rPr>
        <w:t>Ağaç, çalı, yer örtücü ve sarılıcılar için boy, gövde çapı, tepe/kök oranı, kap hacmi ve form sınıfları ürün grubuna göre doldurulur.</w:t>
      </w:r>
    </w:p>
    <w:p>
      <w:pPr>
        <w:numPr>
          <w:ilvl w:val="0"/>
          <w:numId w:val="1"/>
        </w:numPr>
      </w:pPr>
      <w:r>
        <w:rPr>
          <w:rFonts w:ascii="Aptos" w:hAnsi="Aptos" w:eastAsia="Aptos"/>
          <w:color w:val="16211F"/>
          <w:sz w:val="22"/>
        </w:rPr>
        <w:t>Etiketleme botanik ad, çeşit, üretici, parti, üretim yeri ve sevk tarihini içerir.</w:t>
      </w:r>
    </w:p>
    <w:p>
      <w:pPr>
        <w:numPr>
          <w:ilvl w:val="0"/>
          <w:numId w:val="1"/>
        </w:numPr>
      </w:pPr>
      <w:r>
        <w:rPr>
          <w:rFonts w:ascii="Aptos" w:hAnsi="Aptos" w:eastAsia="Aptos"/>
          <w:color w:val="16211F"/>
          <w:sz w:val="22"/>
        </w:rPr>
        <w:t>Parti numunesi, kabul örnekleme oranı, ret sınırı ve değişim süresi satın alma belgesinde açıkça yazılır.</w:t>
      </w:r>
    </w:p>
    <w:p>
      <w:pPr>
        <w:pStyle w:val="Heading2"/>
      </w:pPr>
      <w:r>
        <w:t>Proje özelinde doldurulacak performans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800"/>
        <w:gridCol w:w="2400"/>
        <w:gridCol w:w="2600"/>
        <w:gridCol w:w="2560"/>
      </w:tblGrid>
      <w:tr>
        <w:trPr>
          <w:tblHeader w:val="true"/>
        </w:trPr>
        <w:tc>
          <w:tcPr>
            <w:tcW w:type="dxa" w:w="1800"/>
            <w:shd w:fill="4D6765"/>
            <w:tcMar>
              <w:top w:w="90" w:type="dxa"/>
              <w:start w:w="120" w:type="dxa"/>
              <w:bottom w:w="90" w:type="dxa"/>
              <w:end w:w="120" w:type="dxa"/>
            </w:tcMar>
          </w:tcPr>
          <w:p>
            <w:r>
              <w:rPr>
                <w:rFonts w:ascii="Aptos" w:hAnsi="Aptos" w:eastAsia="Aptos"/>
                <w:b/>
                <w:color w:val="FFFFFF"/>
                <w:sz w:val="17"/>
              </w:rPr>
              <w:t>Kriter</w:t>
            </w:r>
          </w:p>
        </w:tc>
        <w:tc>
          <w:tcPr>
            <w:tcW w:type="dxa" w:w="2400"/>
            <w:shd w:fill="4D6765"/>
            <w:tcMar>
              <w:top w:w="90" w:type="dxa"/>
              <w:start w:w="120" w:type="dxa"/>
              <w:bottom w:w="90" w:type="dxa"/>
              <w:end w:w="120" w:type="dxa"/>
            </w:tcMar>
          </w:tcPr>
          <w:p>
            <w:r>
              <w:rPr>
                <w:rFonts w:ascii="Aptos" w:hAnsi="Aptos" w:eastAsia="Aptos"/>
                <w:b/>
                <w:color w:val="FFFFFF"/>
                <w:sz w:val="17"/>
              </w:rPr>
              <w:t>İstenen değer/sınıf</w:t>
            </w:r>
          </w:p>
        </w:tc>
        <w:tc>
          <w:tcPr>
            <w:tcW w:type="dxa" w:w="2600"/>
            <w:shd w:fill="4D6765"/>
            <w:tcMar>
              <w:top w:w="90" w:type="dxa"/>
              <w:start w:w="120" w:type="dxa"/>
              <w:bottom w:w="90" w:type="dxa"/>
              <w:end w:w="120" w:type="dxa"/>
            </w:tcMar>
          </w:tcPr>
          <w:p>
            <w:r>
              <w:rPr>
                <w:rFonts w:ascii="Aptos" w:hAnsi="Aptos" w:eastAsia="Aptos"/>
                <w:b/>
                <w:color w:val="FFFFFF"/>
                <w:sz w:val="17"/>
              </w:rPr>
              <w:t>Doğrulama yöntemi</w:t>
            </w:r>
          </w:p>
        </w:tc>
        <w:tc>
          <w:tcPr>
            <w:tcW w:type="dxa" w:w="2560"/>
            <w:shd w:fill="4D6765"/>
            <w:tcMar>
              <w:top w:w="90" w:type="dxa"/>
              <w:start w:w="120" w:type="dxa"/>
              <w:bottom w:w="90" w:type="dxa"/>
              <w:end w:w="120" w:type="dxa"/>
            </w:tcMar>
          </w:tcPr>
          <w:p>
            <w:r>
              <w:rPr>
                <w:rFonts w:ascii="Aptos" w:hAnsi="Aptos" w:eastAsia="Aptos"/>
                <w:b/>
                <w:color w:val="FFFFFF"/>
                <w:sz w:val="17"/>
              </w:rPr>
              <w:t>Kabul kaydı</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r>
        <w:tc>
          <w:tcPr>
            <w:tcW w:type="dxa" w:w="1800"/>
            <w:tcMar>
              <w:top w:w="90" w:type="dxa"/>
              <w:start w:w="120" w:type="dxa"/>
              <w:bottom w:w="90" w:type="dxa"/>
              <w:end w:w="120" w:type="dxa"/>
            </w:tcMar>
          </w:tcPr>
          <w:p>
            <w:r>
              <w:rPr>
                <w:rFonts w:ascii="Aptos" w:hAnsi="Aptos" w:eastAsia="Aptos"/>
                <w:color w:val="16211F"/>
                <w:sz w:val="17"/>
              </w:rPr>
              <w:t>[●]</w:t>
            </w:r>
          </w:p>
        </w:tc>
        <w:tc>
          <w:tcPr>
            <w:tcW w:type="dxa" w:w="2400"/>
            <w:tcMar>
              <w:top w:w="90" w:type="dxa"/>
              <w:start w:w="120" w:type="dxa"/>
              <w:bottom w:w="90" w:type="dxa"/>
              <w:end w:w="120" w:type="dxa"/>
            </w:tcMar>
          </w:tcPr>
          <w:p>
            <w:r>
              <w:rPr>
                <w:rFonts w:ascii="Aptos" w:hAnsi="Aptos" w:eastAsia="Aptos"/>
                <w:color w:val="16211F"/>
                <w:sz w:val="17"/>
              </w:rPr>
              <w:t>[●]</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2560"/>
            <w:tcMar>
              <w:top w:w="90" w:type="dxa"/>
              <w:start w:w="120" w:type="dxa"/>
              <w:bottom w:w="90" w:type="dxa"/>
              <w:end w:w="120" w:type="dxa"/>
            </w:tcMar>
          </w:tcPr>
          <w:p>
            <w:r>
              <w:rPr>
                <w:rFonts w:ascii="Aptos" w:hAnsi="Aptos" w:eastAsia="Aptos"/>
                <w:color w:val="16211F"/>
                <w:sz w:val="17"/>
              </w:rPr>
              <w:t>[●]</w:t>
            </w:r>
          </w:p>
        </w:tc>
      </w:tr>
      <w:tr>
        <w:tc>
          <w:tcPr>
            <w:tcW w:type="dxa" w:w="1800"/>
            <w:shd w:fill="F8FAF7"/>
            <w:tcMar>
              <w:top w:w="90" w:type="dxa"/>
              <w:start w:w="120" w:type="dxa"/>
              <w:bottom w:w="90" w:type="dxa"/>
              <w:end w:w="120" w:type="dxa"/>
            </w:tcMar>
          </w:tcPr>
          <w:p>
            <w:r>
              <w:rPr>
                <w:rFonts w:ascii="Aptos" w:hAnsi="Aptos" w:eastAsia="Aptos"/>
                <w:color w:val="16211F"/>
                <w:sz w:val="17"/>
              </w:rPr>
              <w:t>[●]</w:t>
            </w:r>
          </w:p>
        </w:tc>
        <w:tc>
          <w:tcPr>
            <w:tcW w:type="dxa" w:w="2400"/>
            <w:shd w:fill="F8FAF7"/>
            <w:tcMar>
              <w:top w:w="90" w:type="dxa"/>
              <w:start w:w="120" w:type="dxa"/>
              <w:bottom w:w="90" w:type="dxa"/>
              <w:end w:w="120" w:type="dxa"/>
            </w:tcMar>
          </w:tcPr>
          <w:p>
            <w:r>
              <w:rPr>
                <w:rFonts w:ascii="Aptos" w:hAnsi="Aptos" w:eastAsia="Aptos"/>
                <w:color w:val="16211F"/>
                <w:sz w:val="17"/>
              </w:rPr>
              <w:t>[●]</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2560"/>
            <w:shd w:fill="F8FAF7"/>
            <w:tcMar>
              <w:top w:w="90" w:type="dxa"/>
              <w:start w:w="120" w:type="dxa"/>
              <w:bottom w:w="90" w:type="dxa"/>
              <w:end w:w="120" w:type="dxa"/>
            </w:tcMar>
          </w:tcPr>
          <w:p>
            <w:r>
              <w:rPr>
                <w:rFonts w:ascii="Aptos" w:hAnsi="Aptos" w:eastAsia="Aptos"/>
                <w:color w:val="16211F"/>
                <w:sz w:val="17"/>
              </w:rPr>
              <w:t>[●]</w:t>
            </w:r>
          </w:p>
        </w:tc>
      </w:tr>
    </w:tbl>
    <w:p>
      <w:pPr>
        <w:pStyle w:val="Heading2"/>
      </w:pPr>
      <w:r>
        <w:t>Teslim ve kabul</w:t>
      </w:r>
    </w:p>
    <w:p>
      <w:pPr>
        <w:numPr>
          <w:ilvl w:val="0"/>
          <w:numId w:val="1"/>
        </w:numPr>
      </w:pPr>
      <w:r>
        <w:rPr>
          <w:rFonts w:ascii="Aptos" w:hAnsi="Aptos" w:eastAsia="Aptos"/>
          <w:color w:val="16211F"/>
          <w:sz w:val="22"/>
        </w:rPr>
        <w:t>☐ Onaylı ürün ve numune ile sahadaki uygulama eşleştirildi.</w:t>
      </w:r>
    </w:p>
    <w:p>
      <w:pPr>
        <w:numPr>
          <w:ilvl w:val="0"/>
          <w:numId w:val="1"/>
        </w:numPr>
      </w:pPr>
      <w:r>
        <w:rPr>
          <w:rFonts w:ascii="Aptos" w:hAnsi="Aptos" w:eastAsia="Aptos"/>
          <w:color w:val="16211F"/>
          <w:sz w:val="22"/>
        </w:rPr>
        <w:t>☐ Kapatılan işler için ölçüm/fotoğraf/deney kaydı alındı.</w:t>
      </w:r>
    </w:p>
    <w:p>
      <w:pPr>
        <w:numPr>
          <w:ilvl w:val="0"/>
          <w:numId w:val="1"/>
        </w:numPr>
      </w:pPr>
      <w:r>
        <w:rPr>
          <w:rFonts w:ascii="Aptos" w:hAnsi="Aptos" w:eastAsia="Aptos"/>
          <w:color w:val="16211F"/>
          <w:sz w:val="22"/>
        </w:rPr>
        <w:t>☐ Bakım, garanti, kullanım ve as-built belgeleri teslim edildi.</w:t>
      </w:r>
    </w:p>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Kamu İhale Kurumu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kik.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Teknik Şartnameler Paketi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