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0" w:after="100"/>
        <w:jc w:val="center"/>
      </w:pPr>
      <w:r>
        <w:drawing>
          <wp:inline xmlns:a="http://schemas.openxmlformats.org/drawingml/2006/main" xmlns:pic="http://schemas.openxmlformats.org/drawingml/2006/picture">
            <wp:extent cx="658368" cy="652822"/>
            <wp:docPr id="1" name="Picture 1" descr="PEYSED logosu"/>
            <wp:cNvGraphicFramePr>
              <a:graphicFrameLocks noChangeAspect="1"/>
            </wp:cNvGraphicFramePr>
            <a:graphic>
              <a:graphicData uri="http://schemas.openxmlformats.org/drawingml/2006/picture">
                <pic:pic>
                  <pic:nvPicPr>
                    <pic:cNvPr id="0" name="logo.png"/>
                    <pic:cNvPicPr/>
                  </pic:nvPicPr>
                  <pic:blipFill>
                    <a:blip r:embed="rId11"/>
                    <a:stretch>
                      <a:fillRect/>
                    </a:stretch>
                  </pic:blipFill>
                  <pic:spPr>
                    <a:xfrm>
                      <a:off x="0" y="0"/>
                      <a:ext cx="658368" cy="652822"/>
                    </a:xfrm>
                    <a:prstGeom prst="rect"/>
                  </pic:spPr>
                </pic:pic>
              </a:graphicData>
            </a:graphic>
          </wp:inline>
        </w:drawing>
      </w:r>
      <w:r>
        <w:rPr>
          <w:rFonts w:ascii="Aptos" w:hAnsi="Aptos" w:eastAsia="Aptos"/>
          <w:b/>
          <w:color w:val="4D6765"/>
          <w:sz w:val="18"/>
        </w:rPr>
        <w:br/>
        <w:t>Peyzaj Sektörü Derneği (PEYSED)</w:t>
        <w:br/>
        <w:t>www.peysed.org</w:t>
      </w:r>
    </w:p>
    <w:p>
      <w:pPr>
        <w:spacing w:before="200" w:after="100"/>
      </w:pPr>
      <w:r>
        <w:rPr>
          <w:rFonts w:ascii="Aptos" w:hAnsi="Aptos" w:eastAsia="Aptos"/>
          <w:b/>
          <w:color w:val="8A6A33"/>
          <w:sz w:val="19"/>
        </w:rPr>
        <w:t>PEYSED-ŞRT-01</w:t>
      </w:r>
    </w:p>
    <w:p>
      <w:pPr>
        <w:spacing w:after="160"/>
      </w:pPr>
      <w:r>
        <w:rPr>
          <w:rFonts w:ascii="Aptos Display" w:hAnsi="Aptos Display" w:eastAsia="Aptos Display"/>
          <w:b/>
          <w:color w:val="16211F"/>
          <w:sz w:val="50"/>
        </w:rPr>
        <w:t>Otomatik Sulama Projelendirme Teknik Şartnamesi</w:t>
      </w:r>
    </w:p>
    <w:p>
      <w:pPr>
        <w:spacing w:after="360"/>
      </w:pPr>
      <w:r>
        <w:rPr>
          <w:rFonts w:ascii="Aptos" w:hAnsi="Aptos" w:eastAsia="Aptos"/>
          <w:color w:val="4D6765"/>
          <w:sz w:val="25"/>
        </w:rPr>
        <w:t>Su kaynağından zonlamaya, hidrolik hesaptan teslim dosyasına kadar proje hizmetinin ölçülebilir kriterlerini tanımlayan örnek şartname.</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Belge türü</w:t>
            </w:r>
          </w:p>
        </w:tc>
        <w:tc>
          <w:tcPr>
            <w:tcW w:type="dxa" w:w="6660"/>
            <w:vAlign w:val="center"/>
            <w:tcMar>
              <w:top w:w="90" w:type="dxa"/>
              <w:start w:w="120" w:type="dxa"/>
              <w:bottom w:w="90" w:type="dxa"/>
              <w:end w:w="120" w:type="dxa"/>
            </w:tcMar>
          </w:tcPr>
          <w:p>
            <w:r>
              <w:rPr>
                <w:rFonts w:ascii="Aptos" w:hAnsi="Aptos" w:eastAsia="Aptos"/>
                <w:color w:val="16211F"/>
                <w:sz w:val="19"/>
              </w:rPr>
              <w:t>Doldurulabilir örnek şablon</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Hedef kullanıcı</w:t>
            </w:r>
          </w:p>
        </w:tc>
        <w:tc>
          <w:tcPr>
            <w:tcW w:type="dxa" w:w="6660"/>
            <w:vAlign w:val="center"/>
            <w:tcMar>
              <w:top w:w="90" w:type="dxa"/>
              <w:start w:w="120" w:type="dxa"/>
              <w:bottom w:w="90" w:type="dxa"/>
              <w:end w:w="120" w:type="dxa"/>
            </w:tcMar>
          </w:tcPr>
          <w:p>
            <w:r>
              <w:rPr>
                <w:rFonts w:ascii="Aptos" w:hAnsi="Aptos" w:eastAsia="Aptos"/>
                <w:color w:val="16211F"/>
                <w:sz w:val="19"/>
              </w:rPr>
              <w:t>Peyzaj mimarları, sulama tasarımcıları, danışmanlar, yatırımcılar ve ihale hazırlayan kurumlar</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Sürüm</w:t>
            </w:r>
          </w:p>
        </w:tc>
        <w:tc>
          <w:tcPr>
            <w:tcW w:type="dxa" w:w="6660"/>
            <w:vAlign w:val="center"/>
            <w:tcMar>
              <w:top w:w="90" w:type="dxa"/>
              <w:start w:w="120" w:type="dxa"/>
              <w:bottom w:w="90" w:type="dxa"/>
              <w:end w:w="120" w:type="dxa"/>
            </w:tcMar>
          </w:tcPr>
          <w:p>
            <w:r>
              <w:rPr>
                <w:rFonts w:ascii="Aptos" w:hAnsi="Aptos" w:eastAsia="Aptos"/>
                <w:color w:val="16211F"/>
                <w:sz w:val="19"/>
              </w:rPr>
              <w:t>1.0 / Ağustos 2026</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Son mevzuat kontrolü</w:t>
            </w:r>
          </w:p>
        </w:tc>
        <w:tc>
          <w:tcPr>
            <w:tcW w:type="dxa" w:w="6660"/>
            <w:vAlign w:val="center"/>
            <w:tcMar>
              <w:top w:w="90" w:type="dxa"/>
              <w:start w:w="120" w:type="dxa"/>
              <w:bottom w:w="90" w:type="dxa"/>
              <w:end w:w="120" w:type="dxa"/>
            </w:tcMar>
          </w:tcPr>
          <w:p>
            <w:r>
              <w:rPr>
                <w:rFonts w:ascii="Aptos" w:hAnsi="Aptos" w:eastAsia="Aptos"/>
                <w:color w:val="16211F"/>
                <w:sz w:val="19"/>
              </w:rPr>
              <w:t>20 Ağustos 2026</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Kullanım</w:t>
            </w:r>
          </w:p>
        </w:tc>
        <w:tc>
          <w:tcPr>
            <w:tcW w:type="dxa" w:w="6660"/>
            <w:vAlign w:val="center"/>
            <w:tcMar>
              <w:top w:w="90" w:type="dxa"/>
              <w:start w:w="120" w:type="dxa"/>
              <w:bottom w:w="90" w:type="dxa"/>
              <w:end w:w="120" w:type="dxa"/>
            </w:tcMar>
          </w:tcPr>
          <w:p>
            <w:r>
              <w:rPr>
                <w:rFonts w:ascii="Aptos" w:hAnsi="Aptos" w:eastAsia="Aptos"/>
                <w:color w:val="16211F"/>
                <w:sz w:val="19"/>
              </w:rPr>
              <w:t>[●] Ticari işlem  [●] Tüketici işlemi  [●] Kamu işi  [●] Diğer</w:t>
            </w:r>
          </w:p>
        </w:tc>
      </w:tr>
    </w:tbl>
    <w:p/>
    <w:p>
      <w:pPr>
        <w:spacing w:before="80" w:after="40"/>
        <w:shd w:fill="FBF8F1"/>
        <w:pBdr>
          <w:left w:val="single" w:sz="18" w:space="8" w:color="8A6A33"/>
        </w:pBdr>
      </w:pPr>
      <w:r>
        <w:rPr>
          <w:rFonts w:ascii="Aptos" w:hAnsi="Aptos" w:eastAsia="Aptos"/>
          <w:b/>
          <w:color w:val="8A6A33"/>
          <w:sz w:val="18"/>
        </w:rPr>
        <w:t>ÖNEMLI HUKUK NOTU</w:t>
      </w:r>
    </w:p>
    <w:p>
      <w:pPr>
        <w:spacing w:before="0" w:after="160"/>
        <w:shd w:fill="FBF8F1"/>
        <w:pBdr>
          <w:left w:val="single" w:sz="18" w:space="8" w:color="8A6A33"/>
        </w:pBdr>
      </w:pPr>
      <w:r>
        <w:rPr>
          <w:rFonts w:ascii="Aptos" w:hAnsi="Aptos" w:eastAsia="Aptos"/>
          <w:color w:val="16211F"/>
          <w:sz w:val="20"/>
        </w:rPr>
        <w:t>Bu metin genel bilgilendirme ve taslak amaçlıdır; somut olaya özel hukuki görüş değildir. Tarafların sıfatı, işin bedeli, taşınmazın niteliği, ruhsat/izinler, vergi, tüketici işlemi, kişisel veri, iş güvenliği ve kamu ihale rejimi sonuçları değiştirebilir. İmzadan önce avukat, mali müşavir ve ilgili teknik uzman tarafından güncel mevzuat ile proje özelinde gözden geçirilmelidir. Köşeli parantezli alanlar doldurulmalı, seçeneklerden uygulanmayanlar silinmelidir.</w:t>
      </w:r>
    </w:p>
    <w:p/>
    <w:p>
      <w:pPr>
        <w:pStyle w:val="Heading1"/>
      </w:pPr>
      <w:r>
        <w:t>Şablon nasıl kullanılır</w:t>
      </w:r>
    </w:p>
    <w:p>
      <w:pPr>
        <w:numPr>
          <w:ilvl w:val="0"/>
          <w:numId w:val="1"/>
        </w:numPr>
      </w:pPr>
      <w:r>
        <w:rPr>
          <w:rFonts w:ascii="Aptos" w:hAnsi="Aptos" w:eastAsia="Aptos"/>
          <w:color w:val="16211F"/>
          <w:sz w:val="22"/>
        </w:rPr>
        <w:t>[●] işaretli alanları doldurun; alternatif düzenlemelerden yalnızca uygun olanı bırakın.</w:t>
      </w:r>
    </w:p>
    <w:p>
      <w:pPr>
        <w:numPr>
          <w:ilvl w:val="0"/>
          <w:numId w:val="1"/>
        </w:numPr>
      </w:pPr>
      <w:r>
        <w:rPr>
          <w:rFonts w:ascii="Aptos" w:hAnsi="Aptos" w:eastAsia="Aptos"/>
          <w:color w:val="16211F"/>
          <w:sz w:val="22"/>
        </w:rPr>
        <w:t>Teklif, keşif özeti, metraj, uygulama projesi, iş programı ve birim fiyat listesini tarih/sürüm bilgisiyle ek yapın.</w:t>
      </w:r>
    </w:p>
    <w:p>
      <w:pPr>
        <w:numPr>
          <w:ilvl w:val="0"/>
          <w:numId w:val="1"/>
        </w:numPr>
      </w:pPr>
      <w:r>
        <w:rPr>
          <w:rFonts w:ascii="Aptos" w:hAnsi="Aptos" w:eastAsia="Aptos"/>
          <w:color w:val="16211F"/>
          <w:sz w:val="22"/>
        </w:rPr>
        <w:t>Çelişki hâlinde belge öncelik sırasını açıkça yazın; sözlü değişiklik yerine yazılı değişiklik emri kullanın.</w:t>
      </w:r>
    </w:p>
    <w:p>
      <w:pPr>
        <w:numPr>
          <w:ilvl w:val="0"/>
          <w:numId w:val="1"/>
        </w:numPr>
      </w:pPr>
      <w:r>
        <w:rPr>
          <w:rFonts w:ascii="Aptos" w:hAnsi="Aptos" w:eastAsia="Aptos"/>
          <w:color w:val="16211F"/>
          <w:sz w:val="22"/>
        </w:rPr>
        <w:t>Tüketiciyle uzaktan veya iş yeri dışında sözleşme kuruluyorsa ön bilgilendirme ve cayma rejimini ayrıca kontrol edin.</w:t>
      </w:r>
    </w:p>
    <w:p>
      <w:pPr>
        <w:numPr>
          <w:ilvl w:val="0"/>
          <w:numId w:val="1"/>
        </w:numPr>
      </w:pPr>
      <w:r>
        <w:rPr>
          <w:rFonts w:ascii="Aptos" w:hAnsi="Aptos" w:eastAsia="Aptos"/>
          <w:color w:val="16211F"/>
          <w:sz w:val="22"/>
        </w:rPr>
        <w:t>Kamu kurumlarıyla yapılacak işlerde bu şablon tek başına kullanılmamalı; ihale dokümanları ve kamu sözleşme mevzuatı esas alınmalıdır.</w:t>
      </w:r>
    </w:p>
    <w:p>
      <w:pPr>
        <w:pStyle w:val="Heading1"/>
      </w:pPr>
      <w:r>
        <w:t>Proje kimliği ve onay alanı</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Proje</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Yer / iklim bölgesi</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Toplam sulanan alan</w:t>
            </w:r>
          </w:p>
        </w:tc>
        <w:tc>
          <w:tcPr>
            <w:tcW w:type="dxa" w:w="6660"/>
            <w:vAlign w:val="center"/>
            <w:tcMar>
              <w:top w:w="90" w:type="dxa"/>
              <w:start w:w="120" w:type="dxa"/>
              <w:bottom w:w="90" w:type="dxa"/>
              <w:end w:w="120" w:type="dxa"/>
            </w:tcMar>
          </w:tcPr>
          <w:p>
            <w:r>
              <w:rPr>
                <w:rFonts w:ascii="Aptos" w:hAnsi="Aptos" w:eastAsia="Aptos"/>
                <w:color w:val="16211F"/>
                <w:sz w:val="19"/>
              </w:rPr>
              <w:t>[●] m²</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İşveren / proje müellifi</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Tasarım debi ve basınç noktası</w:t>
            </w:r>
          </w:p>
        </w:tc>
        <w:tc>
          <w:tcPr>
            <w:tcW w:type="dxa" w:w="6660"/>
            <w:vAlign w:val="center"/>
            <w:tcMar>
              <w:top w:w="90" w:type="dxa"/>
              <w:start w:w="120" w:type="dxa"/>
              <w:bottom w:w="90" w:type="dxa"/>
              <w:end w:w="120" w:type="dxa"/>
            </w:tcMar>
          </w:tcPr>
          <w:p>
            <w:r>
              <w:rPr>
                <w:rFonts w:ascii="Aptos" w:hAnsi="Aptos" w:eastAsia="Aptos"/>
                <w:color w:val="16211F"/>
                <w:sz w:val="19"/>
              </w:rPr>
              <w:t>[●] m³/h • [●] bar</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Sürüm / tarih</w:t>
            </w:r>
          </w:p>
        </w:tc>
        <w:tc>
          <w:tcPr>
            <w:tcW w:type="dxa" w:w="6660"/>
            <w:vAlign w:val="center"/>
            <w:tcMar>
              <w:top w:w="90" w:type="dxa"/>
              <w:start w:w="120" w:type="dxa"/>
              <w:bottom w:w="90" w:type="dxa"/>
              <w:end w:w="120" w:type="dxa"/>
            </w:tcMar>
          </w:tcPr>
          <w:p>
            <w:r>
              <w:rPr>
                <w:rFonts w:ascii="Aptos" w:hAnsi="Aptos" w:eastAsia="Aptos"/>
                <w:color w:val="16211F"/>
                <w:sz w:val="19"/>
              </w:rPr>
              <w:t>[●]</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Onay</w:t>
            </w:r>
          </w:p>
        </w:tc>
        <w:tc>
          <w:tcPr>
            <w:tcW w:type="dxa" w:w="6660"/>
            <w:vAlign w:val="center"/>
            <w:tcMar>
              <w:top w:w="90" w:type="dxa"/>
              <w:start w:w="120" w:type="dxa"/>
              <w:bottom w:w="90" w:type="dxa"/>
              <w:end w:w="120" w:type="dxa"/>
            </w:tcMar>
          </w:tcPr>
          <w:p>
            <w:r>
              <w:rPr>
                <w:rFonts w:ascii="Aptos" w:hAnsi="Aptos" w:eastAsia="Aptos"/>
                <w:color w:val="16211F"/>
                <w:sz w:val="19"/>
              </w:rPr>
              <w:t>Hazırlayan [●] • Kontrol [●] • Onay [●]</w:t>
            </w:r>
          </w:p>
        </w:tc>
      </w:tr>
    </w:tbl>
    <w:p>
      <w:pPr>
        <w:spacing w:before="80" w:after="40"/>
        <w:shd w:fill="FBF8F1"/>
        <w:pBdr>
          <w:left w:val="single" w:sz="18" w:space="8" w:color="8A6A33"/>
        </w:pBdr>
      </w:pPr>
      <w:r>
        <w:rPr>
          <w:rFonts w:ascii="Aptos" w:hAnsi="Aptos" w:eastAsia="Aptos"/>
          <w:b/>
          <w:color w:val="8A6A33"/>
          <w:sz w:val="18"/>
        </w:rPr>
        <w:t>UYARLAMA ZORUNLULUĞU</w:t>
      </w:r>
    </w:p>
    <w:p>
      <w:pPr>
        <w:spacing w:before="0" w:after="160"/>
        <w:shd w:fill="FBF8F1"/>
        <w:pBdr>
          <w:left w:val="single" w:sz="18" w:space="8" w:color="8A6A33"/>
        </w:pBdr>
      </w:pPr>
      <w:r>
        <w:rPr>
          <w:rFonts w:ascii="Aptos" w:hAnsi="Aptos" w:eastAsia="Aptos"/>
          <w:color w:val="16211F"/>
          <w:sz w:val="20"/>
        </w:rPr>
        <w:t>Bu genel şartname, saha ölçümü ve güncel üretici/TSE/EN/ISO dokümanları doğrulanmadan doğrudan ihaleye çıkarılmamalıdır. Standart numarası ve baskı yılı proje özelinde lisanslı güncel kaynaktan teyit edilmelidir.</w:t>
      </w:r>
    </w:p>
    <w:p>
      <w:pPr>
        <w:pStyle w:val="Heading1"/>
      </w:pPr>
      <w:r>
        <w:t>1. Amaç ve kapsam</w:t>
      </w:r>
    </w:p>
    <w:p>
      <w:pPr/>
      <w:r>
        <w:t>Bu şartname; peyzaj alanları için suyu etkin kullanan, işletilebilir ve bakım yapılabilir otomatik sulama sisteminin etüt, hesap, çizim, metraj, teknik tanım ve koordinasyon teslimlerini belirler. Uygulama, tedarik ve saha kontrollüğü ayrıca sözleşmede tanımlanmadıkça kapsam dışıdır.</w:t>
      </w:r>
    </w:p>
    <w:p>
      <w:pPr>
        <w:pStyle w:val="Heading1"/>
      </w:pPr>
      <w:r>
        <w:t>2. Tasarım girdileri</w:t>
      </w:r>
    </w:p>
    <w:p>
      <w:pPr>
        <w:numPr>
          <w:ilvl w:val="0"/>
          <w:numId w:val="1"/>
        </w:numPr>
      </w:pPr>
      <w:r>
        <w:rPr>
          <w:rFonts w:ascii="Aptos" w:hAnsi="Aptos" w:eastAsia="Aptos"/>
          <w:color w:val="16211F"/>
          <w:sz w:val="22"/>
        </w:rPr>
        <w:t>Güncel hâlihazır, koordinat/kot sistemi, mimari ve altyapı projeleri, sert zemin ve bitkilendirme planı.</w:t>
      </w:r>
    </w:p>
    <w:p>
      <w:pPr>
        <w:numPr>
          <w:ilvl w:val="0"/>
          <w:numId w:val="1"/>
        </w:numPr>
      </w:pPr>
      <w:r>
        <w:rPr>
          <w:rFonts w:ascii="Aptos" w:hAnsi="Aptos" w:eastAsia="Aptos"/>
          <w:color w:val="16211F"/>
          <w:sz w:val="22"/>
        </w:rPr>
        <w:t>Su kaynağı türü; en az [●] süreli debi testi; statik/dinamik basınç; günlük/aylık kullanılabilir hacim; su kalitesi analizi.</w:t>
      </w:r>
    </w:p>
    <w:p>
      <w:pPr>
        <w:numPr>
          <w:ilvl w:val="0"/>
          <w:numId w:val="1"/>
        </w:numPr>
      </w:pPr>
      <w:r>
        <w:rPr>
          <w:rFonts w:ascii="Aptos" w:hAnsi="Aptos" w:eastAsia="Aptos"/>
          <w:color w:val="16211F"/>
          <w:sz w:val="22"/>
        </w:rPr>
        <w:t>Toprak bünyesi, infiltrasyon, kök derinliği, eğim, drenaj, rüzgâr, gölgelenme ve mikroklima.</w:t>
      </w:r>
    </w:p>
    <w:p>
      <w:pPr>
        <w:numPr>
          <w:ilvl w:val="0"/>
          <w:numId w:val="1"/>
        </w:numPr>
      </w:pPr>
      <w:r>
        <w:rPr>
          <w:rFonts w:ascii="Aptos" w:hAnsi="Aptos" w:eastAsia="Aptos"/>
          <w:color w:val="16211F"/>
          <w:sz w:val="22"/>
        </w:rPr>
        <w:t>Bitki türü, su ihtiyacı, hidrozon, tesis dönemi ve işletmenin bakım/otomasyon kapasitesi.</w:t>
      </w:r>
    </w:p>
    <w:p>
      <w:pPr>
        <w:numPr>
          <w:ilvl w:val="0"/>
          <w:numId w:val="1"/>
        </w:numPr>
      </w:pPr>
      <w:r>
        <w:rPr>
          <w:rFonts w:ascii="Aptos" w:hAnsi="Aptos" w:eastAsia="Aptos"/>
          <w:color w:val="16211F"/>
          <w:sz w:val="22"/>
        </w:rPr>
        <w:t>Elektrik beslemesi, kontrol/iletişim altyapısı, pompa/depo, yangın hattı ve geri akış riski.</w:t>
      </w:r>
    </w:p>
    <w:p>
      <w:pPr>
        <w:pStyle w:val="Heading1"/>
      </w:pPr>
      <w:r>
        <w:t>3. Tasarım esasları</w:t>
      </w:r>
    </w:p>
    <w:p>
      <w:pPr/>
      <w:r>
        <w:t>Zonlar bitki su ihtiyacı, sulama yöntemi, güneş/rüzgâr, eğim, toprak ve çalışma basıncı benzerliğine göre ayrılır. Farklı çökelme hızındaki başlıklar aynı zonda kullanılmaz. Düşük debili alanlar ile sprinkler/rotor alanları ayrılır.</w:t>
      </w:r>
    </w:p>
    <w:p>
      <w:pPr/>
      <w:r>
        <w:t>Sistem, su kaynağının doğrulanmış debi ve basınç sınırları içinde çalışır. En olumsuz çalışma zonu için toplam dinamik basınç ihtiyacı; kot farkı, boru/ek parça/filtre/vana kaybı ve ekipman çalışma basıncıyla hesaplanır. Eşzamanlı zon sayısı ve pik saat kısıtı belirtilir.</w:t>
      </w:r>
    </w:p>
    <w:p>
      <w:pPr/>
      <w:r>
        <w:t>Başlık aralığı, üretici performans tablosu, rüzgâr ve basınca göre seçilir; kapsama yöntemi ve hedef dağılım açıklanır. Damla hatlarında filtre, basınç düzenleme, hava/vakum, yıkama ve hat uzunluğu sınırları gösterilir.</w:t>
      </w:r>
    </w:p>
    <w:p>
      <w:pPr>
        <w:pStyle w:val="Heading1"/>
      </w:pPr>
      <w:r>
        <w:t>4. Tasarım kriterleri tablosu</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3150"/>
        <w:gridCol w:w="2600"/>
        <w:gridCol w:w="3610"/>
      </w:tblGrid>
      <w:tr>
        <w:trPr>
          <w:tblHeader w:val="true"/>
        </w:trPr>
        <w:tc>
          <w:tcPr>
            <w:tcW w:type="dxa" w:w="3150"/>
            <w:shd w:fill="4D6765"/>
            <w:tcMar>
              <w:top w:w="90" w:type="dxa"/>
              <w:start w:w="120" w:type="dxa"/>
              <w:bottom w:w="90" w:type="dxa"/>
              <w:end w:w="120" w:type="dxa"/>
            </w:tcMar>
          </w:tcPr>
          <w:p>
            <w:r>
              <w:rPr>
                <w:rFonts w:ascii="Aptos" w:hAnsi="Aptos" w:eastAsia="Aptos"/>
                <w:b/>
                <w:color w:val="FFFFFF"/>
                <w:sz w:val="17"/>
              </w:rPr>
              <w:t>Kriter</w:t>
            </w:r>
          </w:p>
        </w:tc>
        <w:tc>
          <w:tcPr>
            <w:tcW w:type="dxa" w:w="2600"/>
            <w:shd w:fill="4D6765"/>
            <w:tcMar>
              <w:top w:w="90" w:type="dxa"/>
              <w:start w:w="120" w:type="dxa"/>
              <w:bottom w:w="90" w:type="dxa"/>
              <w:end w:w="120" w:type="dxa"/>
            </w:tcMar>
          </w:tcPr>
          <w:p>
            <w:r>
              <w:rPr>
                <w:rFonts w:ascii="Aptos" w:hAnsi="Aptos" w:eastAsia="Aptos"/>
                <w:b/>
                <w:color w:val="FFFFFF"/>
                <w:sz w:val="17"/>
              </w:rPr>
              <w:t>Proje değeri</w:t>
            </w:r>
          </w:p>
        </w:tc>
        <w:tc>
          <w:tcPr>
            <w:tcW w:type="dxa" w:w="3610"/>
            <w:shd w:fill="4D6765"/>
            <w:tcMar>
              <w:top w:w="90" w:type="dxa"/>
              <w:start w:w="120" w:type="dxa"/>
              <w:bottom w:w="90" w:type="dxa"/>
              <w:end w:w="120" w:type="dxa"/>
            </w:tcMar>
          </w:tcPr>
          <w:p>
            <w:r>
              <w:rPr>
                <w:rFonts w:ascii="Aptos" w:hAnsi="Aptos" w:eastAsia="Aptos"/>
                <w:b/>
                <w:color w:val="FFFFFF"/>
                <w:sz w:val="17"/>
              </w:rPr>
              <w:t>Doğrulama / not</w:t>
            </w:r>
          </w:p>
        </w:tc>
      </w:tr>
      <w:tr>
        <w:tc>
          <w:tcPr>
            <w:tcW w:type="dxa" w:w="3150"/>
            <w:tcMar>
              <w:top w:w="90" w:type="dxa"/>
              <w:start w:w="120" w:type="dxa"/>
              <w:bottom w:w="90" w:type="dxa"/>
              <w:end w:w="120" w:type="dxa"/>
            </w:tcMar>
          </w:tcPr>
          <w:p>
            <w:r>
              <w:rPr>
                <w:rFonts w:ascii="Aptos" w:hAnsi="Aptos" w:eastAsia="Aptos"/>
                <w:color w:val="16211F"/>
                <w:sz w:val="17"/>
              </w:rPr>
              <w:t>Su kaynağı tasarım debisi</w:t>
            </w:r>
          </w:p>
        </w:tc>
        <w:tc>
          <w:tcPr>
            <w:tcW w:type="dxa" w:w="2600"/>
            <w:tcMar>
              <w:top w:w="90" w:type="dxa"/>
              <w:start w:w="120" w:type="dxa"/>
              <w:bottom w:w="90" w:type="dxa"/>
              <w:end w:w="120" w:type="dxa"/>
            </w:tcMar>
          </w:tcPr>
          <w:p>
            <w:r>
              <w:rPr>
                <w:rFonts w:ascii="Aptos" w:hAnsi="Aptos" w:eastAsia="Aptos"/>
                <w:color w:val="16211F"/>
                <w:sz w:val="17"/>
              </w:rPr>
              <w:t>[●] m³/h</w:t>
            </w:r>
          </w:p>
        </w:tc>
        <w:tc>
          <w:tcPr>
            <w:tcW w:type="dxa" w:w="3610"/>
            <w:tcMar>
              <w:top w:w="90" w:type="dxa"/>
              <w:start w:w="120" w:type="dxa"/>
              <w:bottom w:w="90" w:type="dxa"/>
              <w:end w:w="120" w:type="dxa"/>
            </w:tcMar>
          </w:tcPr>
          <w:p>
            <w:r>
              <w:rPr>
                <w:rFonts w:ascii="Aptos" w:hAnsi="Aptos" w:eastAsia="Aptos"/>
                <w:color w:val="16211F"/>
                <w:sz w:val="17"/>
              </w:rPr>
              <w:t>Saha test tarihi [●]</w:t>
            </w:r>
          </w:p>
        </w:tc>
      </w:tr>
      <w:tr>
        <w:tc>
          <w:tcPr>
            <w:tcW w:type="dxa" w:w="3150"/>
            <w:shd w:fill="F8FAF7"/>
            <w:tcMar>
              <w:top w:w="90" w:type="dxa"/>
              <w:start w:w="120" w:type="dxa"/>
              <w:bottom w:w="90" w:type="dxa"/>
              <w:end w:w="120" w:type="dxa"/>
            </w:tcMar>
          </w:tcPr>
          <w:p>
            <w:r>
              <w:rPr>
                <w:rFonts w:ascii="Aptos" w:hAnsi="Aptos" w:eastAsia="Aptos"/>
                <w:color w:val="16211F"/>
                <w:sz w:val="17"/>
              </w:rPr>
              <w:t>Kaynak basıncı</w:t>
            </w:r>
          </w:p>
        </w:tc>
        <w:tc>
          <w:tcPr>
            <w:tcW w:type="dxa" w:w="2600"/>
            <w:shd w:fill="F8FAF7"/>
            <w:tcMar>
              <w:top w:w="90" w:type="dxa"/>
              <w:start w:w="120" w:type="dxa"/>
              <w:bottom w:w="90" w:type="dxa"/>
              <w:end w:w="120" w:type="dxa"/>
            </w:tcMar>
          </w:tcPr>
          <w:p>
            <w:r>
              <w:rPr>
                <w:rFonts w:ascii="Aptos" w:hAnsi="Aptos" w:eastAsia="Aptos"/>
                <w:color w:val="16211F"/>
                <w:sz w:val="17"/>
              </w:rPr>
              <w:t>Statik [●] / dinamik [●] bar</w:t>
            </w:r>
          </w:p>
        </w:tc>
        <w:tc>
          <w:tcPr>
            <w:tcW w:type="dxa" w:w="3610"/>
            <w:shd w:fill="F8FAF7"/>
            <w:tcMar>
              <w:top w:w="90" w:type="dxa"/>
              <w:start w:w="120" w:type="dxa"/>
              <w:bottom w:w="90" w:type="dxa"/>
              <w:end w:w="120" w:type="dxa"/>
            </w:tcMar>
          </w:tcPr>
          <w:p>
            <w:r>
              <w:rPr>
                <w:rFonts w:ascii="Aptos" w:hAnsi="Aptos" w:eastAsia="Aptos"/>
                <w:color w:val="16211F"/>
                <w:sz w:val="17"/>
              </w:rPr>
              <w:t>Ölçüm noktası [●]</w:t>
            </w:r>
          </w:p>
        </w:tc>
      </w:tr>
      <w:tr>
        <w:tc>
          <w:tcPr>
            <w:tcW w:type="dxa" w:w="3150"/>
            <w:tcMar>
              <w:top w:w="90" w:type="dxa"/>
              <w:start w:w="120" w:type="dxa"/>
              <w:bottom w:w="90" w:type="dxa"/>
              <w:end w:w="120" w:type="dxa"/>
            </w:tcMar>
          </w:tcPr>
          <w:p>
            <w:r>
              <w:rPr>
                <w:rFonts w:ascii="Aptos" w:hAnsi="Aptos" w:eastAsia="Aptos"/>
                <w:color w:val="16211F"/>
                <w:sz w:val="17"/>
              </w:rPr>
              <w:t>Ana/lateral boru hız sınırı</w:t>
            </w:r>
          </w:p>
        </w:tc>
        <w:tc>
          <w:tcPr>
            <w:tcW w:type="dxa" w:w="2600"/>
            <w:tcMar>
              <w:top w:w="90" w:type="dxa"/>
              <w:start w:w="120" w:type="dxa"/>
              <w:bottom w:w="90" w:type="dxa"/>
              <w:end w:w="120" w:type="dxa"/>
            </w:tcMar>
          </w:tcPr>
          <w:p>
            <w:r>
              <w:rPr>
                <w:rFonts w:ascii="Aptos" w:hAnsi="Aptos" w:eastAsia="Aptos"/>
                <w:color w:val="16211F"/>
                <w:sz w:val="17"/>
              </w:rPr>
              <w:t>[●] m/s</w:t>
            </w:r>
          </w:p>
        </w:tc>
        <w:tc>
          <w:tcPr>
            <w:tcW w:type="dxa" w:w="3610"/>
            <w:tcMar>
              <w:top w:w="90" w:type="dxa"/>
              <w:start w:w="120" w:type="dxa"/>
              <w:bottom w:w="90" w:type="dxa"/>
              <w:end w:w="120" w:type="dxa"/>
            </w:tcMar>
          </w:tcPr>
          <w:p>
            <w:r>
              <w:rPr>
                <w:rFonts w:ascii="Aptos" w:hAnsi="Aptos" w:eastAsia="Aptos"/>
                <w:color w:val="16211F"/>
                <w:sz w:val="17"/>
              </w:rPr>
              <w:t>Hesap ve darbe riski</w:t>
            </w:r>
          </w:p>
        </w:tc>
      </w:tr>
      <w:tr>
        <w:tc>
          <w:tcPr>
            <w:tcW w:type="dxa" w:w="3150"/>
            <w:shd w:fill="F8FAF7"/>
            <w:tcMar>
              <w:top w:w="90" w:type="dxa"/>
              <w:start w:w="120" w:type="dxa"/>
              <w:bottom w:w="90" w:type="dxa"/>
              <w:end w:w="120" w:type="dxa"/>
            </w:tcMar>
          </w:tcPr>
          <w:p>
            <w:r>
              <w:rPr>
                <w:rFonts w:ascii="Aptos" w:hAnsi="Aptos" w:eastAsia="Aptos"/>
                <w:color w:val="16211F"/>
                <w:sz w:val="17"/>
              </w:rPr>
              <w:t>İzin verilen sürtünme kaybı</w:t>
            </w:r>
          </w:p>
        </w:tc>
        <w:tc>
          <w:tcPr>
            <w:tcW w:type="dxa" w:w="2600"/>
            <w:shd w:fill="F8FAF7"/>
            <w:tcMar>
              <w:top w:w="90" w:type="dxa"/>
              <w:start w:w="120" w:type="dxa"/>
              <w:bottom w:w="90" w:type="dxa"/>
              <w:end w:w="120" w:type="dxa"/>
            </w:tcMar>
          </w:tcPr>
          <w:p>
            <w:r>
              <w:rPr>
                <w:rFonts w:ascii="Aptos" w:hAnsi="Aptos" w:eastAsia="Aptos"/>
                <w:color w:val="16211F"/>
                <w:sz w:val="17"/>
              </w:rPr>
              <w:t>[●]</w:t>
            </w:r>
          </w:p>
        </w:tc>
        <w:tc>
          <w:tcPr>
            <w:tcW w:type="dxa" w:w="3610"/>
            <w:shd w:fill="F8FAF7"/>
            <w:tcMar>
              <w:top w:w="90" w:type="dxa"/>
              <w:start w:w="120" w:type="dxa"/>
              <w:bottom w:w="90" w:type="dxa"/>
              <w:end w:w="120" w:type="dxa"/>
            </w:tcMar>
          </w:tcPr>
          <w:p>
            <w:r>
              <w:rPr>
                <w:rFonts w:ascii="Aptos" w:hAnsi="Aptos" w:eastAsia="Aptos"/>
                <w:color w:val="16211F"/>
                <w:sz w:val="17"/>
              </w:rPr>
              <w:t>Hat/100 m veya zon bazlı</w:t>
            </w:r>
          </w:p>
        </w:tc>
      </w:tr>
      <w:tr>
        <w:tc>
          <w:tcPr>
            <w:tcW w:type="dxa" w:w="3150"/>
            <w:tcMar>
              <w:top w:w="90" w:type="dxa"/>
              <w:start w:w="120" w:type="dxa"/>
              <w:bottom w:w="90" w:type="dxa"/>
              <w:end w:w="120" w:type="dxa"/>
            </w:tcMar>
          </w:tcPr>
          <w:p>
            <w:r>
              <w:rPr>
                <w:rFonts w:ascii="Aptos" w:hAnsi="Aptos" w:eastAsia="Aptos"/>
                <w:color w:val="16211F"/>
                <w:sz w:val="17"/>
              </w:rPr>
              <w:t>Çalışma basıncı toleransı</w:t>
            </w:r>
          </w:p>
        </w:tc>
        <w:tc>
          <w:tcPr>
            <w:tcW w:type="dxa" w:w="2600"/>
            <w:tcMar>
              <w:top w:w="90" w:type="dxa"/>
              <w:start w:w="120" w:type="dxa"/>
              <w:bottom w:w="90" w:type="dxa"/>
              <w:end w:w="120" w:type="dxa"/>
            </w:tcMar>
          </w:tcPr>
          <w:p>
            <w:r>
              <w:rPr>
                <w:rFonts w:ascii="Aptos" w:hAnsi="Aptos" w:eastAsia="Aptos"/>
                <w:color w:val="16211F"/>
                <w:sz w:val="17"/>
              </w:rPr>
              <w:t>[%●]</w:t>
            </w:r>
          </w:p>
        </w:tc>
        <w:tc>
          <w:tcPr>
            <w:tcW w:type="dxa" w:w="3610"/>
            <w:tcMar>
              <w:top w:w="90" w:type="dxa"/>
              <w:start w:w="120" w:type="dxa"/>
              <w:bottom w:w="90" w:type="dxa"/>
              <w:end w:w="120" w:type="dxa"/>
            </w:tcMar>
          </w:tcPr>
          <w:p>
            <w:r>
              <w:rPr>
                <w:rFonts w:ascii="Aptos" w:hAnsi="Aptos" w:eastAsia="Aptos"/>
                <w:color w:val="16211F"/>
                <w:sz w:val="17"/>
              </w:rPr>
              <w:t>Üretici aralığıyla uyum</w:t>
            </w:r>
          </w:p>
        </w:tc>
      </w:tr>
      <w:tr>
        <w:tc>
          <w:tcPr>
            <w:tcW w:type="dxa" w:w="3150"/>
            <w:shd w:fill="F8FAF7"/>
            <w:tcMar>
              <w:top w:w="90" w:type="dxa"/>
              <w:start w:w="120" w:type="dxa"/>
              <w:bottom w:w="90" w:type="dxa"/>
              <w:end w:w="120" w:type="dxa"/>
            </w:tcMar>
          </w:tcPr>
          <w:p>
            <w:r>
              <w:rPr>
                <w:rFonts w:ascii="Aptos" w:hAnsi="Aptos" w:eastAsia="Aptos"/>
                <w:color w:val="16211F"/>
                <w:sz w:val="17"/>
              </w:rPr>
              <w:t>Filtrasyon derecesi</w:t>
            </w:r>
          </w:p>
        </w:tc>
        <w:tc>
          <w:tcPr>
            <w:tcW w:type="dxa" w:w="2600"/>
            <w:shd w:fill="F8FAF7"/>
            <w:tcMar>
              <w:top w:w="90" w:type="dxa"/>
              <w:start w:w="120" w:type="dxa"/>
              <w:bottom w:w="90" w:type="dxa"/>
              <w:end w:w="120" w:type="dxa"/>
            </w:tcMar>
          </w:tcPr>
          <w:p>
            <w:r>
              <w:rPr>
                <w:rFonts w:ascii="Aptos" w:hAnsi="Aptos" w:eastAsia="Aptos"/>
                <w:color w:val="16211F"/>
                <w:sz w:val="17"/>
              </w:rPr>
              <w:t>[●] mikron/mesh</w:t>
            </w:r>
          </w:p>
        </w:tc>
        <w:tc>
          <w:tcPr>
            <w:tcW w:type="dxa" w:w="3610"/>
            <w:shd w:fill="F8FAF7"/>
            <w:tcMar>
              <w:top w:w="90" w:type="dxa"/>
              <w:start w:w="120" w:type="dxa"/>
              <w:bottom w:w="90" w:type="dxa"/>
              <w:end w:w="120" w:type="dxa"/>
            </w:tcMar>
          </w:tcPr>
          <w:p>
            <w:r>
              <w:rPr>
                <w:rFonts w:ascii="Aptos" w:hAnsi="Aptos" w:eastAsia="Aptos"/>
                <w:color w:val="16211F"/>
                <w:sz w:val="17"/>
              </w:rPr>
              <w:t>Su ve ekipman gereği</w:t>
            </w:r>
          </w:p>
        </w:tc>
      </w:tr>
      <w:tr>
        <w:tc>
          <w:tcPr>
            <w:tcW w:type="dxa" w:w="3150"/>
            <w:tcMar>
              <w:top w:w="90" w:type="dxa"/>
              <w:start w:w="120" w:type="dxa"/>
              <w:bottom w:w="90" w:type="dxa"/>
              <w:end w:w="120" w:type="dxa"/>
            </w:tcMar>
          </w:tcPr>
          <w:p>
            <w:r>
              <w:rPr>
                <w:rFonts w:ascii="Aptos" w:hAnsi="Aptos" w:eastAsia="Aptos"/>
                <w:color w:val="16211F"/>
                <w:sz w:val="17"/>
              </w:rPr>
              <w:t>Tasarım yağmurlama oranı</w:t>
            </w:r>
          </w:p>
        </w:tc>
        <w:tc>
          <w:tcPr>
            <w:tcW w:type="dxa" w:w="2600"/>
            <w:tcMar>
              <w:top w:w="90" w:type="dxa"/>
              <w:start w:w="120" w:type="dxa"/>
              <w:bottom w:w="90" w:type="dxa"/>
              <w:end w:w="120" w:type="dxa"/>
            </w:tcMar>
          </w:tcPr>
          <w:p>
            <w:r>
              <w:rPr>
                <w:rFonts w:ascii="Aptos" w:hAnsi="Aptos" w:eastAsia="Aptos"/>
                <w:color w:val="16211F"/>
                <w:sz w:val="17"/>
              </w:rPr>
              <w:t>[●] mm/saat</w:t>
            </w:r>
          </w:p>
        </w:tc>
        <w:tc>
          <w:tcPr>
            <w:tcW w:type="dxa" w:w="3610"/>
            <w:tcMar>
              <w:top w:w="90" w:type="dxa"/>
              <w:start w:w="120" w:type="dxa"/>
              <w:bottom w:w="90" w:type="dxa"/>
              <w:end w:w="120" w:type="dxa"/>
            </w:tcMar>
          </w:tcPr>
          <w:p>
            <w:r>
              <w:rPr>
                <w:rFonts w:ascii="Aptos" w:hAnsi="Aptos" w:eastAsia="Aptos"/>
                <w:color w:val="16211F"/>
                <w:sz w:val="17"/>
              </w:rPr>
              <w:t>Toprak infiltrasyonundan düşük</w:t>
            </w:r>
          </w:p>
        </w:tc>
      </w:tr>
      <w:tr>
        <w:tc>
          <w:tcPr>
            <w:tcW w:type="dxa" w:w="3150"/>
            <w:shd w:fill="F8FAF7"/>
            <w:tcMar>
              <w:top w:w="90" w:type="dxa"/>
              <w:start w:w="120" w:type="dxa"/>
              <w:bottom w:w="90" w:type="dxa"/>
              <w:end w:w="120" w:type="dxa"/>
            </w:tcMar>
          </w:tcPr>
          <w:p>
            <w:r>
              <w:rPr>
                <w:rFonts w:ascii="Aptos" w:hAnsi="Aptos" w:eastAsia="Aptos"/>
                <w:color w:val="16211F"/>
                <w:sz w:val="17"/>
              </w:rPr>
              <w:t>Kontrol kapasitesi</w:t>
            </w:r>
          </w:p>
        </w:tc>
        <w:tc>
          <w:tcPr>
            <w:tcW w:type="dxa" w:w="2600"/>
            <w:shd w:fill="F8FAF7"/>
            <w:tcMar>
              <w:top w:w="90" w:type="dxa"/>
              <w:start w:w="120" w:type="dxa"/>
              <w:bottom w:w="90" w:type="dxa"/>
              <w:end w:w="120" w:type="dxa"/>
            </w:tcMar>
          </w:tcPr>
          <w:p>
            <w:r>
              <w:rPr>
                <w:rFonts w:ascii="Aptos" w:hAnsi="Aptos" w:eastAsia="Aptos"/>
                <w:color w:val="16211F"/>
                <w:sz w:val="17"/>
              </w:rPr>
              <w:t>[●] zon + [%●] yedek</w:t>
            </w:r>
          </w:p>
        </w:tc>
        <w:tc>
          <w:tcPr>
            <w:tcW w:type="dxa" w:w="3610"/>
            <w:shd w:fill="F8FAF7"/>
            <w:tcMar>
              <w:top w:w="90" w:type="dxa"/>
              <w:start w:w="120" w:type="dxa"/>
              <w:bottom w:w="90" w:type="dxa"/>
              <w:end w:w="120" w:type="dxa"/>
            </w:tcMar>
          </w:tcPr>
          <w:p>
            <w:r>
              <w:rPr>
                <w:rFonts w:ascii="Aptos" w:hAnsi="Aptos" w:eastAsia="Aptos"/>
                <w:color w:val="16211F"/>
                <w:sz w:val="17"/>
              </w:rPr>
              <w:t>Genişleme payı</w:t>
            </w:r>
          </w:p>
        </w:tc>
      </w:tr>
    </w:tbl>
    <w:p>
      <w:pPr>
        <w:pStyle w:val="Heading1"/>
      </w:pPr>
      <w:r>
        <w:t>5. Bileşen ve detay gereklilikleri</w:t>
      </w:r>
    </w:p>
    <w:p>
      <w:pPr>
        <w:numPr>
          <w:ilvl w:val="0"/>
          <w:numId w:val="1"/>
        </w:numPr>
      </w:pPr>
      <w:r>
        <w:rPr>
          <w:rFonts w:ascii="Aptos" w:hAnsi="Aptos" w:eastAsia="Aptos"/>
          <w:color w:val="16211F"/>
          <w:sz w:val="22"/>
        </w:rPr>
        <w:t>Kaynak bağlantısı, sayaç, ana vana, geri akış önleme, filtre, basınç düzenleme ve gerekirse pompa/depo prensip şeması.</w:t>
      </w:r>
    </w:p>
    <w:p>
      <w:pPr>
        <w:numPr>
          <w:ilvl w:val="0"/>
          <w:numId w:val="1"/>
        </w:numPr>
      </w:pPr>
      <w:r>
        <w:rPr>
          <w:rFonts w:ascii="Aptos" w:hAnsi="Aptos" w:eastAsia="Aptos"/>
          <w:color w:val="16211F"/>
          <w:sz w:val="22"/>
        </w:rPr>
        <w:t>Boru çapı, malzeme/basınç sınıfı, vana ve zon debisi; kritik düğüm basınçları.</w:t>
      </w:r>
    </w:p>
    <w:p>
      <w:pPr>
        <w:numPr>
          <w:ilvl w:val="0"/>
          <w:numId w:val="1"/>
        </w:numPr>
      </w:pPr>
      <w:r>
        <w:rPr>
          <w:rFonts w:ascii="Aptos" w:hAnsi="Aptos" w:eastAsia="Aptos"/>
          <w:color w:val="16211F"/>
          <w:sz w:val="22"/>
        </w:rPr>
        <w:t>Vana kutusu, ankraj, yol geçişi, kılıf, drenaj, hava/vakum ve yıkama detayları.</w:t>
      </w:r>
    </w:p>
    <w:p>
      <w:pPr>
        <w:numPr>
          <w:ilvl w:val="0"/>
          <w:numId w:val="1"/>
        </w:numPr>
      </w:pPr>
      <w:r>
        <w:rPr>
          <w:rFonts w:ascii="Aptos" w:hAnsi="Aptos" w:eastAsia="Aptos"/>
          <w:color w:val="16211F"/>
          <w:sz w:val="22"/>
        </w:rPr>
        <w:t>Sprink/rotor/nozul yerleşimi; başlık tipi, nozul, çalışma basıncı, debi ve ayar sektörü.</w:t>
      </w:r>
    </w:p>
    <w:p>
      <w:pPr>
        <w:numPr>
          <w:ilvl w:val="0"/>
          <w:numId w:val="1"/>
        </w:numPr>
      </w:pPr>
      <w:r>
        <w:rPr>
          <w:rFonts w:ascii="Aptos" w:hAnsi="Aptos" w:eastAsia="Aptos"/>
          <w:color w:val="16211F"/>
          <w:sz w:val="22"/>
        </w:rPr>
        <w:t>Damla borusu aralık/uzunluk/debi, basınç regülatörü, filtre ve yıkama noktaları.</w:t>
      </w:r>
    </w:p>
    <w:p>
      <w:pPr>
        <w:numPr>
          <w:ilvl w:val="0"/>
          <w:numId w:val="1"/>
        </w:numPr>
      </w:pPr>
      <w:r>
        <w:rPr>
          <w:rFonts w:ascii="Aptos" w:hAnsi="Aptos" w:eastAsia="Aptos"/>
          <w:color w:val="16211F"/>
          <w:sz w:val="22"/>
        </w:rPr>
        <w:t>Kontrolör, dekoder/solenoid, kablo kesiti, topraklama/yıldırım koruma, sensör ve haberleşme mimarisi.</w:t>
      </w:r>
    </w:p>
    <w:p>
      <w:pPr>
        <w:numPr>
          <w:ilvl w:val="0"/>
          <w:numId w:val="1"/>
        </w:numPr>
      </w:pPr>
      <w:r>
        <w:rPr>
          <w:rFonts w:ascii="Aptos" w:hAnsi="Aptos" w:eastAsia="Aptos"/>
          <w:color w:val="16211F"/>
          <w:sz w:val="22"/>
        </w:rPr>
        <w:t>Kış boşaltma, sezon açılışı, manuel kullanım ve acil kapatma yaklaşımı.</w:t>
      </w:r>
    </w:p>
    <w:p>
      <w:pPr>
        <w:pStyle w:val="Heading1"/>
      </w:pPr>
      <w:r>
        <w:t>6. Su verimliliği ve işletme</w:t>
      </w:r>
    </w:p>
    <w:p>
      <w:pPr/>
      <w:r>
        <w:t>Program; hidrozon, mevsim, toprak ve gerçek uygulama yağmurlama oranına göre temel çalışma süresi verir. Eğimli veya düşük infiltrasyonlu alanlarda çevrim-bekletme yaklaşımı tanımlanır. Yağmur/toprak nemi/iklim sensörü seçimi, veri kaybı hâli ve manuel geçersiz kılma yetkileri açıklanır.</w:t>
      </w:r>
    </w:p>
    <w:p>
      <w:pPr/>
      <w:r>
        <w:t>Proje, yol/yapı ıslatmasını, yüzey akışını, gereksiz yüksek basıncı ve gece dışı buharlaşma kaybını azaltacak şekilde düzenlenir. Arıza tespiti için ana sayaç/akış sensörü ve zon bazlı anomali yaklaşımı [dahil/değil] olarak belirtilir.</w:t>
      </w:r>
    </w:p>
    <w:p>
      <w:pPr>
        <w:pStyle w:val="Heading1"/>
      </w:pPr>
      <w:r>
        <w:t>7. Teslimler</w:t>
      </w:r>
    </w:p>
    <w:p>
      <w:pPr>
        <w:numPr>
          <w:ilvl w:val="0"/>
          <w:numId w:val="1"/>
        </w:numPr>
      </w:pPr>
      <w:r>
        <w:rPr>
          <w:rFonts w:ascii="Aptos" w:hAnsi="Aptos" w:eastAsia="Aptos"/>
          <w:color w:val="16211F"/>
          <w:sz w:val="22"/>
        </w:rPr>
        <w:t>Tasarım raporu ve doğrulanmış girdiler/varsayımlar listesi.</w:t>
      </w:r>
    </w:p>
    <w:p>
      <w:pPr>
        <w:numPr>
          <w:ilvl w:val="0"/>
          <w:numId w:val="1"/>
        </w:numPr>
      </w:pPr>
      <w:r>
        <w:rPr>
          <w:rFonts w:ascii="Aptos" w:hAnsi="Aptos" w:eastAsia="Aptos"/>
          <w:color w:val="16211F"/>
          <w:sz w:val="22"/>
        </w:rPr>
        <w:t>Genel yerleşim, zon planı, boru çapları, vana/başlık kodları ve lejant.</w:t>
      </w:r>
    </w:p>
    <w:p>
      <w:pPr>
        <w:numPr>
          <w:ilvl w:val="0"/>
          <w:numId w:val="1"/>
        </w:numPr>
      </w:pPr>
      <w:r>
        <w:rPr>
          <w:rFonts w:ascii="Aptos" w:hAnsi="Aptos" w:eastAsia="Aptos"/>
          <w:color w:val="16211F"/>
          <w:sz w:val="22"/>
        </w:rPr>
        <w:t>Hidrolik hesap: her zon debisi, kritik yol, kayıp, kot ve kalan basınç.</w:t>
      </w:r>
    </w:p>
    <w:p>
      <w:pPr>
        <w:numPr>
          <w:ilvl w:val="0"/>
          <w:numId w:val="1"/>
        </w:numPr>
      </w:pPr>
      <w:r>
        <w:rPr>
          <w:rFonts w:ascii="Aptos" w:hAnsi="Aptos" w:eastAsia="Aptos"/>
          <w:color w:val="16211F"/>
          <w:sz w:val="22"/>
        </w:rPr>
        <w:t>Pompa/depo/filtre/kontrol prensip şeması ve ekipman çizelgesi.</w:t>
      </w:r>
    </w:p>
    <w:p>
      <w:pPr>
        <w:numPr>
          <w:ilvl w:val="0"/>
          <w:numId w:val="1"/>
        </w:numPr>
      </w:pPr>
      <w:r>
        <w:rPr>
          <w:rFonts w:ascii="Aptos" w:hAnsi="Aptos" w:eastAsia="Aptos"/>
          <w:color w:val="16211F"/>
          <w:sz w:val="22"/>
        </w:rPr>
        <w:t>Uygulama detayları, kablo/elektrik şeması ve disiplin çakışma notları.</w:t>
      </w:r>
    </w:p>
    <w:p>
      <w:pPr>
        <w:numPr>
          <w:ilvl w:val="0"/>
          <w:numId w:val="1"/>
        </w:numPr>
      </w:pPr>
      <w:r>
        <w:rPr>
          <w:rFonts w:ascii="Aptos" w:hAnsi="Aptos" w:eastAsia="Aptos"/>
          <w:color w:val="16211F"/>
          <w:sz w:val="22"/>
        </w:rPr>
        <w:t>Keşif-metraj ve tarafsız performans temelli teknik tanımlar; varsa marka eşdeğerlik ölçütleri.</w:t>
      </w:r>
    </w:p>
    <w:p>
      <w:pPr>
        <w:numPr>
          <w:ilvl w:val="0"/>
          <w:numId w:val="1"/>
        </w:numPr>
      </w:pPr>
      <w:r>
        <w:rPr>
          <w:rFonts w:ascii="Aptos" w:hAnsi="Aptos" w:eastAsia="Aptos"/>
          <w:color w:val="16211F"/>
          <w:sz w:val="22"/>
        </w:rPr>
        <w:t>PDF + [DWG/DXF] + [XLSX] formatı; koordinat sistemi, katman ve dosya adlandırma standardı.</w:t>
      </w:r>
    </w:p>
    <w:p>
      <w:pPr>
        <w:pStyle w:val="Heading1"/>
      </w:pPr>
      <w:r>
        <w:t>8. Proje kontrol ve kabul ölçütleri</w:t>
      </w:r>
    </w:p>
    <w:p>
      <w:pPr>
        <w:numPr>
          <w:ilvl w:val="0"/>
          <w:numId w:val="10"/>
        </w:numPr>
      </w:pPr>
      <w:r>
        <w:rPr>
          <w:rFonts w:ascii="Aptos" w:hAnsi="Aptos" w:eastAsia="Aptos"/>
          <w:color w:val="16211F"/>
          <w:sz w:val="22"/>
        </w:rPr>
        <w:t>Tüm sulanan alanlar hidrozon ve zon koduyla eşleşiyor mu?</w:t>
      </w:r>
    </w:p>
    <w:p>
      <w:pPr>
        <w:numPr>
          <w:ilvl w:val="0"/>
          <w:numId w:val="10"/>
        </w:numPr>
      </w:pPr>
      <w:r>
        <w:rPr>
          <w:rFonts w:ascii="Aptos" w:hAnsi="Aptos" w:eastAsia="Aptos"/>
          <w:color w:val="16211F"/>
          <w:sz w:val="22"/>
        </w:rPr>
        <w:t>Su kaynağı ölçümü güncel mi; tasarım debisi/basıncı aşılmıyor mu?</w:t>
      </w:r>
    </w:p>
    <w:p>
      <w:pPr>
        <w:numPr>
          <w:ilvl w:val="0"/>
          <w:numId w:val="10"/>
        </w:numPr>
      </w:pPr>
      <w:r>
        <w:rPr>
          <w:rFonts w:ascii="Aptos" w:hAnsi="Aptos" w:eastAsia="Aptos"/>
          <w:color w:val="16211F"/>
          <w:sz w:val="22"/>
        </w:rPr>
        <w:t>Her zon için debi, kritik nokta basıncı ve boru çapı hesaplanmış mı?</w:t>
      </w:r>
    </w:p>
    <w:p>
      <w:pPr>
        <w:numPr>
          <w:ilvl w:val="0"/>
          <w:numId w:val="10"/>
        </w:numPr>
      </w:pPr>
      <w:r>
        <w:rPr>
          <w:rFonts w:ascii="Aptos" w:hAnsi="Aptos" w:eastAsia="Aptos"/>
          <w:color w:val="16211F"/>
          <w:sz w:val="22"/>
        </w:rPr>
        <w:t>Başlık/nozul kapsaması ve damla hat uzunluğu üretici verileriyle uyumlu mu?</w:t>
      </w:r>
    </w:p>
    <w:p>
      <w:pPr>
        <w:numPr>
          <w:ilvl w:val="0"/>
          <w:numId w:val="10"/>
        </w:numPr>
      </w:pPr>
      <w:r>
        <w:rPr>
          <w:rFonts w:ascii="Aptos" w:hAnsi="Aptos" w:eastAsia="Aptos"/>
          <w:color w:val="16211F"/>
          <w:sz w:val="22"/>
        </w:rPr>
        <w:t>Filtrasyon, geri akış, basınç düzenleme ve yıkama gereksinimleri çözülmüş mü?</w:t>
      </w:r>
    </w:p>
    <w:p>
      <w:pPr>
        <w:numPr>
          <w:ilvl w:val="0"/>
          <w:numId w:val="10"/>
        </w:numPr>
      </w:pPr>
      <w:r>
        <w:rPr>
          <w:rFonts w:ascii="Aptos" w:hAnsi="Aptos" w:eastAsia="Aptos"/>
          <w:color w:val="16211F"/>
          <w:sz w:val="22"/>
        </w:rPr>
        <w:t>Drenaj, elektrik, ağaç kökü, temel ve sert zemin geçişleri koordine edilmiş mi?</w:t>
      </w:r>
    </w:p>
    <w:p>
      <w:pPr>
        <w:numPr>
          <w:ilvl w:val="0"/>
          <w:numId w:val="10"/>
        </w:numPr>
      </w:pPr>
      <w:r>
        <w:rPr>
          <w:rFonts w:ascii="Aptos" w:hAnsi="Aptos" w:eastAsia="Aptos"/>
          <w:color w:val="16211F"/>
          <w:sz w:val="22"/>
        </w:rPr>
        <w:t>Metraj çizim ve ekipman çizelgesiyle tutarlı mı?</w:t>
      </w:r>
    </w:p>
    <w:p>
      <w:pPr>
        <w:numPr>
          <w:ilvl w:val="0"/>
          <w:numId w:val="10"/>
        </w:numPr>
      </w:pPr>
      <w:r>
        <w:rPr>
          <w:rFonts w:ascii="Aptos" w:hAnsi="Aptos" w:eastAsia="Aptos"/>
          <w:color w:val="16211F"/>
          <w:sz w:val="22"/>
        </w:rPr>
        <w:t>İşletme programı, as-built ve test gereklilikleri ihale dokümanına yazılmış mı?</w:t>
      </w:r>
    </w:p>
    <w:p>
      <w:pPr>
        <w:pStyle w:val="Heading1"/>
      </w:pPr>
      <w:r>
        <w:t>9. Proje notları ve sorumluluk sınırı</w:t>
      </w:r>
    </w:p>
    <w:p>
      <w:pPr/>
      <w:r>
        <w:t>Tasarım, belgelenmiş girdilere dayanır. Uygulama öncesi yüklenici saha ölçülerini, su kaynağını ve mevcut altyapıyı kontrol eder; farkları yazılı bildirir. Tasarımcının onayı olmadan performansı etkileyen ürün/güzergâh/zon değişikliği yapılamaz. İdari izinler, kuyu/su kullanım hakkı ve elektrik projesi özel mevzuatına göre ayrıca ele alınır.</w:t>
      </w:r>
    </w:p>
    <w:p>
      <w:pPr>
        <w:pStyle w:val="Heading1"/>
      </w:pPr>
      <w:r>
        <w:t>İmza ve ek kontrolü</w:t>
      </w:r>
    </w:p>
    <w:tbl>
      <w:tblPr>
        <w:tblW w:type="dxa" w:w="9360"/>
        <w:jc w:val="left"/>
        <w:tblLayout w:type="fixed"/>
        <w:tblLook w:firstColumn="1" w:firstRow="1" w:lastColumn="0" w:lastRow="0" w:noHBand="0" w:noVBand="1" w:val="04A0"/>
        <w:tblInd w:w="120" w:type="dxa"/>
        <w:tblBorders>
          <w:top w:val="single" w:sz="6" w:space="0" w:color="DBE1D9"/>
          <w:left w:val="single" w:sz="6" w:space="0" w:color="DBE1D9"/>
          <w:bottom w:val="single" w:sz="6" w:space="0" w:color="DBE1D9"/>
          <w:right w:val="single" w:sz="6" w:space="0" w:color="DBE1D9"/>
          <w:insideH w:val="single" w:sz="6" w:space="0" w:color="DBE1D9"/>
          <w:insideV w:val="single" w:sz="6" w:space="0" w:color="DBE1D9"/>
        </w:tblBorders>
      </w:tblPr>
      <w:tblGrid>
        <w:gridCol w:w="2700"/>
        <w:gridCol w:w="6660"/>
      </w:tblGrid>
      <w:tr>
        <w:trPr>
          <w:tblHeader w:val="true"/>
        </w:trPr>
        <w:tc>
          <w:tcPr>
            <w:tcW w:type="dxa" w:w="2700"/>
            <w:shd w:fill="4D6765"/>
            <w:tcMar>
              <w:top w:w="90" w:type="dxa"/>
              <w:start w:w="120" w:type="dxa"/>
              <w:bottom w:w="90" w:type="dxa"/>
              <w:end w:w="120" w:type="dxa"/>
            </w:tcMar>
          </w:tcPr>
          <w:p>
            <w:r>
              <w:rPr>
                <w:rFonts w:ascii="Aptos" w:hAnsi="Aptos" w:eastAsia="Aptos"/>
                <w:b/>
                <w:color w:val="FFFFFF"/>
                <w:sz w:val="19"/>
              </w:rPr>
              <w:t>Alan</w:t>
            </w:r>
          </w:p>
        </w:tc>
        <w:tc>
          <w:tcPr>
            <w:tcW w:type="dxa" w:w="6660"/>
            <w:shd w:fill="4D6765"/>
            <w:tcMar>
              <w:top w:w="90" w:type="dxa"/>
              <w:start w:w="120" w:type="dxa"/>
              <w:bottom w:w="90" w:type="dxa"/>
              <w:end w:w="120" w:type="dxa"/>
            </w:tcMar>
          </w:tcPr>
          <w:p>
            <w:r>
              <w:rPr>
                <w:rFonts w:ascii="Aptos" w:hAnsi="Aptos" w:eastAsia="Aptos"/>
                <w:b/>
                <w:color w:val="FFFFFF"/>
                <w:sz w:val="19"/>
              </w:rPr>
              <w:t>Doldurulacak bilgi / seçim</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İş sahibi / müşteri</w:t>
            </w:r>
          </w:p>
        </w:tc>
        <w:tc>
          <w:tcPr>
            <w:tcW w:type="dxa" w:w="6660"/>
            <w:vAlign w:val="center"/>
            <w:tcMar>
              <w:top w:w="90" w:type="dxa"/>
              <w:start w:w="120" w:type="dxa"/>
              <w:bottom w:w="90" w:type="dxa"/>
              <w:end w:w="120" w:type="dxa"/>
            </w:tcMar>
          </w:tcPr>
          <w:p>
            <w:r>
              <w:rPr>
                <w:rFonts w:ascii="Aptos" w:hAnsi="Aptos" w:eastAsia="Aptos"/>
                <w:color w:val="16211F"/>
                <w:sz w:val="19"/>
              </w:rPr>
              <w:t>Ad-unvan: [●]</w:t>
              <w:br/>
              <w:t>Yetkili: [●]</w:t>
              <w:br/>
              <w:t>Tarih: [●]</w:t>
              <w:br/>
              <w:t>İmza/kaşe: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Yüklenici / hizmet sağlayıcı</w:t>
            </w:r>
          </w:p>
        </w:tc>
        <w:tc>
          <w:tcPr>
            <w:tcW w:type="dxa" w:w="6660"/>
            <w:vAlign w:val="center"/>
            <w:tcMar>
              <w:top w:w="90" w:type="dxa"/>
              <w:start w:w="120" w:type="dxa"/>
              <w:bottom w:w="90" w:type="dxa"/>
              <w:end w:w="120" w:type="dxa"/>
            </w:tcMar>
          </w:tcPr>
          <w:p>
            <w:r>
              <w:rPr>
                <w:rFonts w:ascii="Aptos" w:hAnsi="Aptos" w:eastAsia="Aptos"/>
                <w:color w:val="16211F"/>
                <w:sz w:val="19"/>
              </w:rPr>
              <w:t>Ad-unvan: [●]</w:t>
              <w:br/>
              <w:t>Yetkili: [●]</w:t>
              <w:br/>
              <w:t>Tarih: [●]</w:t>
              <w:br/>
              <w:t>İmza/kaşe: [●]</w:t>
            </w:r>
          </w:p>
        </w:tc>
      </w:tr>
      <w:tr>
        <w:tc>
          <w:tcPr>
            <w:tcW w:type="dxa" w:w="2700"/>
            <w:shd w:fill="F2F4F0"/>
            <w:vAlign w:val="center"/>
            <w:tcMar>
              <w:top w:w="90" w:type="dxa"/>
              <w:start w:w="120" w:type="dxa"/>
              <w:bottom w:w="90" w:type="dxa"/>
              <w:end w:w="120" w:type="dxa"/>
            </w:tcMar>
          </w:tcPr>
          <w:p>
            <w:r>
              <w:rPr>
                <w:rFonts w:ascii="Aptos" w:hAnsi="Aptos" w:eastAsia="Aptos"/>
                <w:b/>
                <w:color w:val="4D6765"/>
                <w:sz w:val="19"/>
              </w:rPr>
              <w:t>Ekler</w:t>
            </w:r>
          </w:p>
        </w:tc>
        <w:tc>
          <w:tcPr>
            <w:tcW w:type="dxa" w:w="6660"/>
            <w:vAlign w:val="center"/>
            <w:tcMar>
              <w:top w:w="90" w:type="dxa"/>
              <w:start w:w="120" w:type="dxa"/>
              <w:bottom w:w="90" w:type="dxa"/>
              <w:end w:w="120" w:type="dxa"/>
            </w:tcMar>
          </w:tcPr>
          <w:p>
            <w:r>
              <w:rPr>
                <w:rFonts w:ascii="Aptos" w:hAnsi="Aptos" w:eastAsia="Aptos"/>
                <w:color w:val="16211F"/>
                <w:sz w:val="19"/>
              </w:rPr>
              <w:t>Ek-1 [●] • Ek-2 [●] • Ek-3 [●] • Ek-4 [●] • Ek-5 [●]</w:t>
            </w:r>
          </w:p>
        </w:tc>
      </w:tr>
    </w:tbl>
    <w:p>
      <w:pPr>
        <w:pStyle w:val="Heading1"/>
      </w:pPr>
      <w:r>
        <w:t>Hukuki dayanak ve güncellik notu</w:t>
      </w:r>
    </w:p>
    <w:p>
      <w:r>
        <w:t>Bu şablon hazırlanırken aşağıdaki resmî kaynaklar esas alınmıştır. Erişim tarihi: 20 Ağustos 2026. Mevzuat ve parasal sınırlar değişebileceğinden imza tarihinde yeniden kontrol edilmelidir.</w:t>
      </w:r>
    </w:p>
    <w:p>
      <w:hyperlink r:id="rId12">
        <w:r>
          <w:rPr>
            <w:color w:val="4D6765"/>
            <w:u w:val="single"/>
            <w:rFonts w:ascii="Aptos" w:hAnsi="Aptos"/>
          </w:rPr>
          <w:t>6098 sayılı Türk Borçlar Kanunu</w:t>
        </w:r>
      </w:hyperlink>
    </w:p>
    <w:p>
      <w:hyperlink r:id="rId13">
        <w:r>
          <w:rPr>
            <w:color w:val="4D6765"/>
            <w:u w:val="single"/>
            <w:rFonts w:ascii="Aptos" w:hAnsi="Aptos"/>
          </w:rPr>
          <w:t>6102 sayılı Türk Ticaret Kanunu</w:t>
        </w:r>
      </w:hyperlink>
    </w:p>
    <w:p>
      <w:hyperlink r:id="rId14">
        <w:r>
          <w:rPr>
            <w:color w:val="4D6765"/>
            <w:u w:val="single"/>
            <w:rFonts w:ascii="Aptos" w:hAnsi="Aptos"/>
          </w:rPr>
          <w:t>6502 sayılı Tüketicinin Korunması Hakkında Kanun ve ikincil mevzuat</w:t>
        </w:r>
      </w:hyperlink>
    </w:p>
    <w:p>
      <w:hyperlink r:id="rId15">
        <w:r>
          <w:rPr>
            <w:color w:val="4D6765"/>
            <w:u w:val="single"/>
            <w:rFonts w:ascii="Aptos" w:hAnsi="Aptos"/>
          </w:rPr>
          <w:t>6698 sayılı Kişisel Verilerin Korunması Kanunu</w:t>
        </w:r>
      </w:hyperlink>
    </w:p>
    <w:p>
      <w:hyperlink r:id="rId16">
        <w:r>
          <w:rPr>
            <w:color w:val="4D6765"/>
            <w:u w:val="single"/>
            <w:rFonts w:ascii="Aptos" w:hAnsi="Aptos"/>
          </w:rPr>
          <w:t>6331 sayılı İş Sağlığı ve Güvenliği Kanunu</w:t>
        </w:r>
      </w:hyperlink>
    </w:p>
    <w:p>
      <w:hyperlink r:id="rId17">
        <w:r>
          <w:rPr>
            <w:color w:val="4D6765"/>
            <w:u w:val="single"/>
            <w:rFonts w:ascii="Aptos" w:hAnsi="Aptos"/>
          </w:rPr>
          <w:t>5846 sayılı Fikir ve Sanat Eserleri Kanunu</w:t>
        </w:r>
      </w:hyperlink>
    </w:p>
    <w:p>
      <w:pPr>
        <w:spacing w:before="80" w:after="40"/>
        <w:shd w:fill="F2F4F0"/>
        <w:pBdr>
          <w:left w:val="single" w:sz="18" w:space="8" w:color="96A984"/>
        </w:pBdr>
      </w:pPr>
      <w:r>
        <w:rPr>
          <w:rFonts w:ascii="Aptos" w:hAnsi="Aptos" w:eastAsia="Aptos"/>
          <w:b/>
          <w:color w:val="4D6765"/>
          <w:sz w:val="18"/>
        </w:rPr>
        <w:t>PEYSED KULLANIM ILKESI</w:t>
      </w:r>
    </w:p>
    <w:p>
      <w:pPr>
        <w:spacing w:before="0" w:after="160"/>
        <w:shd w:fill="F2F4F0"/>
        <w:pBdr>
          <w:left w:val="single" w:sz="18" w:space="8" w:color="96A984"/>
        </w:pBdr>
      </w:pPr>
      <w:r>
        <w:rPr>
          <w:rFonts w:ascii="Aptos" w:hAnsi="Aptos" w:eastAsia="Aptos"/>
          <w:color w:val="16211F"/>
          <w:sz w:val="20"/>
        </w:rPr>
        <w:t>Şablon ücretsiz bir sektör kılavuzudur. PEYSED taraf değildir; somut sözleşmenin hazırlanması, müzakere edilmesi ve uygulanmasından kullanıcılar sorumludur. Şablonun varlığı, proje ve keşif hizmetlerinin ücretsiz olduğu anlamına gelmez; kapsam ve ücret ayrı ve açık biçimde kararlaştırılmalıdır.</w:t>
      </w:r>
    </w:p>
    <w:sectPr w:rsidR="00FC693F" w:rsidRPr="0006063C" w:rsidSect="00034616">
      <w:headerReference w:type="default" r:id="rId9"/>
      <w:footerReference w:type="default" r:id="rId10"/>
      <w:pgSz w:w="12240" w:h="15840"/>
      <w:pgMar w:top="1152" w:right="1440" w:bottom="1152" w:left="1440" w:header="605" w:footer="605"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eastAsia="Aptos"/>
        <w:color w:val="5B6864"/>
        <w:sz w:val="16"/>
      </w:rPr>
      <w:t xml:space="preserve">Peyzaj Sektörü Derneği (PEYSED) • www.peysed.org • 1.0 / Ağustos 2026 • Sayfa </w:t>
    </w:r>
    <w:r>
      <w:rPr>
        <w:rFonts w:ascii="Aptos" w:hAnsi="Aptos" w:eastAsia="Aptos"/>
        <w:color w:val="5B6864"/>
        <w:sz w:val="18"/>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40"/>
      <w:jc w:val="left"/>
      <w:pBdr>
        <w:bottom w:val="single" w:sz="8" w:space="4" w:color="96A984"/>
      </w:pBdr>
    </w:pPr>
    <w:r>
      <w:drawing>
        <wp:inline xmlns:a="http://schemas.openxmlformats.org/drawingml/2006/main" xmlns:pic="http://schemas.openxmlformats.org/drawingml/2006/picture">
          <wp:extent cx="219456" cy="217607"/>
          <wp:docPr id="1" name="Picture 1" descr="PEYSED logosu"/>
          <wp:cNvGraphicFramePr>
            <a:graphicFrameLocks noChangeAspect="1"/>
          </wp:cNvGraphicFramePr>
          <a:graphic>
            <a:graphicData uri="http://schemas.openxmlformats.org/drawingml/2006/picture">
              <pic:pic>
                <pic:nvPicPr>
                  <pic:cNvPr id="0" name="logo.png"/>
                  <pic:cNvPicPr/>
                </pic:nvPicPr>
                <pic:blipFill>
                  <a:blip r:embed="rId1"/>
                  <a:stretch>
                    <a:fillRect/>
                  </a:stretch>
                </pic:blipFill>
                <pic:spPr>
                  <a:xfrm>
                    <a:off x="0" y="0"/>
                    <a:ext cx="219456" cy="217607"/>
                  </a:xfrm>
                  <a:prstGeom prst="rect"/>
                </pic:spPr>
              </pic:pic>
            </a:graphicData>
          </a:graphic>
        </wp:inline>
      </w:drawing>
    </w:r>
    <w:r>
      <w:rPr>
        <w:rFonts w:ascii="Aptos" w:hAnsi="Aptos" w:eastAsia="Aptos"/>
        <w:b/>
        <w:color w:val="4D6765"/>
        <w:sz w:val="17"/>
      </w:rPr>
      <w:t xml:space="preserve">  PEYSED  |  SÖZLEŞME, ŞARTNAME VE UYGULAMA ARAÇLARI</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540" w:hanging="270"/>
        <w:spacing w:after="80" w:line="300" w:lineRule="auto"/>
      </w:pPr>
    </w:lvl>
  </w:abstractNum>
  <w:abstractNum w:abstractNumId="8">
    <w:nsid w:val="FFFFFF89"/>
    <w:multiLevelType w:val="singleLevel"/>
    <w:tmpl w:val="29761A62"/>
    <w:lvl w:ilvl="0">
      <w:start w:val="1"/>
      <w:numFmt w:val="bullet"/>
      <w:pStyle w:val="ListBullet"/>
      <w:lvlText w:val=""/>
      <w:lvlJc w:val="left"/>
      <w:pPr>
        <w:tabs>
          <w:tab w:val="num" w:pos="360"/>
        </w:tabs>
        <w:ind w:left="540" w:hanging="270"/>
        <w:spacing w:after="80" w:line="300" w:lineRule="auto"/>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120" w:line="283" w:lineRule="auto"/>
    </w:pPr>
    <w:rPr>
      <w:rFonts w:ascii="Aptos" w:hAnsi="Aptos"/>
      <w:color w:val="16211F"/>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280" w:after="140"/>
      <w:outlineLvl w:val="0"/>
    </w:pPr>
    <w:rPr>
      <w:rFonts w:asciiTheme="majorHAnsi" w:eastAsiaTheme="majorEastAsia" w:hAnsiTheme="majorHAnsi" w:cstheme="majorBidi" w:ascii="Aptos Display" w:hAnsi="Aptos Display"/>
      <w:b/>
      <w:bCs/>
      <w:color w:val="4D6765"/>
      <w:sz w:val="30"/>
      <w:szCs w:val="28"/>
    </w:rPr>
  </w:style>
  <w:style w:type="paragraph" w:styleId="Heading2">
    <w:name w:val="heading 2"/>
    <w:basedOn w:val="Normal"/>
    <w:next w:val="Normal"/>
    <w:link w:val="Heading2Char"/>
    <w:uiPriority w:val="9"/>
    <w:unhideWhenUsed/>
    <w:qFormat/>
    <w:rsid w:val="00FC693F"/>
    <w:pPr>
      <w:keepNext/>
      <w:keepLines/>
      <w:widowControl/>
      <w:spacing w:before="200" w:after="100"/>
      <w:outlineLvl w:val="1"/>
    </w:pPr>
    <w:rPr>
      <w:rFonts w:asciiTheme="majorHAnsi" w:eastAsiaTheme="majorEastAsia" w:hAnsiTheme="majorHAnsi" w:cstheme="majorBidi" w:ascii="Aptos Display" w:hAnsi="Aptos Display"/>
      <w:b/>
      <w:bCs/>
      <w:color w:val="4D6765"/>
      <w:sz w:val="25"/>
      <w:szCs w:val="26"/>
    </w:rPr>
  </w:style>
  <w:style w:type="paragraph" w:styleId="Heading3">
    <w:name w:val="heading 3"/>
    <w:basedOn w:val="Normal"/>
    <w:next w:val="Normal"/>
    <w:link w:val="Heading3Char"/>
    <w:uiPriority w:val="9"/>
    <w:unhideWhenUsed/>
    <w:qFormat/>
    <w:rsid w:val="00FC693F"/>
    <w:pPr>
      <w:keepNext/>
      <w:keepLines/>
      <w:widowControl/>
      <w:spacing w:before="160" w:after="80"/>
      <w:outlineLvl w:val="2"/>
    </w:pPr>
    <w:rPr>
      <w:rFonts w:asciiTheme="majorHAnsi" w:eastAsiaTheme="majorEastAsia" w:hAnsiTheme="majorHAnsi" w:cstheme="majorBidi" w:ascii="Aptos Display" w:hAnsi="Aptos Display"/>
      <w:b/>
      <w:bCs/>
      <w:color w:val="16211F"/>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www.csgb.gov.tr/Media/xgjbrxit/6098-say%C4%B1l%C4%B1-bor%C3%A7lar-kanunu.pdf" TargetMode="External"/><Relationship Id="rId13" Type="http://schemas.openxmlformats.org/officeDocument/2006/relationships/hyperlink" Target="https://www.tbmm.gov.tr/Yasama/Kanun/F72877BE-1E9F-037B-E050-007F01005610" TargetMode="External"/><Relationship Id="rId14" Type="http://schemas.openxmlformats.org/officeDocument/2006/relationships/hyperlink" Target="https://www.ticaret.gov.tr/tuketici/mevzuat/6502-sayili-tuketicinin-korunmasi-mevzuati" TargetMode="External"/><Relationship Id="rId15" Type="http://schemas.openxmlformats.org/officeDocument/2006/relationships/hyperlink" Target="https://tbmm.gov.tr/Yasama/Kanun/F72877C0-1377-037B-E050-007F01005610" TargetMode="External"/><Relationship Id="rId16" Type="http://schemas.openxmlformats.org/officeDocument/2006/relationships/hyperlink" Target="https://www.tbmm.gov.tr/Yasama/Kanun/f72877be-db1c-037b-e050-007f01005610" TargetMode="External"/><Relationship Id="rId17" Type="http://schemas.openxmlformats.org/officeDocument/2006/relationships/hyperlink" Target="https://www5.tbmm.gov.tr/tutanaklar/KANUNLAR_KARARLAR/kanuntbmmc034/kanuntbmmc034/kanuntbmmc03405846.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Otomatik Sulama Projelendirme Teknik Şartnamesi</dc:title>
  <dc:subject>PEYSED peyzaj sektörü örnek şablonu</dc:subject>
  <dc:creator>python-docx</dc:creator>
  <cp:keywords>PEYSED, peyzaj, sözleşme, şartname, şablon</cp:keywords>
  <dc:description>generated by python-docx</dc:description>
  <cp:lastModifiedBy>PEYSED</cp:lastModifiedBy>
  <cp:revision>1</cp:revision>
  <dcterms:created xsi:type="dcterms:W3CDTF">2013-12-23T23:15:00Z</dcterms:created>
  <dcterms:modified xsi:type="dcterms:W3CDTF">2013-12-23T23:15:00Z</dcterms:modified>
  <cp:category/>
</cp:coreProperties>
</file>