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PEYSED-SÖZ-04</w:t>
      </w:r>
    </w:p>
    <w:p>
      <w:pPr>
        <w:spacing w:after="160"/>
      </w:pPr>
      <w:r>
        <w:rPr>
          <w:rFonts w:ascii="Aptos Display" w:hAnsi="Aptos Display" w:eastAsia="Aptos Display"/>
          <w:b/>
          <w:color w:val="16211F"/>
          <w:sz w:val="50"/>
        </w:rPr>
        <w:t>Otomatik Sulama Sistemi Uygulama Sözleşmesi</w:t>
      </w:r>
    </w:p>
    <w:p>
      <w:pPr>
        <w:spacing w:after="360"/>
      </w:pPr>
      <w:r>
        <w:rPr>
          <w:rFonts w:ascii="Aptos" w:hAnsi="Aptos" w:eastAsia="Aptos"/>
          <w:color w:val="4D6765"/>
          <w:sz w:val="25"/>
        </w:rPr>
        <w:t>Tasarım girdisi, hidrolik performans, malzeme, test, devreye alma ve garanti sorumluluklarını tanımlayan örnek sözleşme.</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Sulama uygulama firmaları, peyzaj firmaları, yatırımcılar, tesis yönetimleri ve bireysel müşteriler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Taraf ve işlem sınıflandırması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Unvan/ad soyad: [●]</w:t>
              <w:br/>
              <w:t>MERSİS/VKN/TCKN: [●]</w:t>
              <w:br/>
              <w:t>Adres/KEP/e-posta: [●]</w:t>
              <w:br/>
              <w:t>Yetkili: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Unvan: [●]</w:t>
              <w:br/>
              <w:t>MERSİS/VKN: [●]</w:t>
              <w:br/>
              <w:t>Adres/KEP/e-posta: [●]</w:t>
              <w:br/>
              <w:t>Yetkili: [●]</w:t>
              <w:br/>
              <w:t>Mesleki yetki/oda bilgisi (varsa):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w:t>
            </w:r>
          </w:p>
        </w:tc>
        <w:tc>
          <w:tcPr>
            <w:tcW w:type="dxa" w:w="6660"/>
            <w:vAlign w:val="center"/>
            <w:tcMar>
              <w:top w:w="90" w:type="dxa"/>
              <w:start w:w="120" w:type="dxa"/>
              <w:bottom w:w="90" w:type="dxa"/>
              <w:end w:w="120" w:type="dxa"/>
            </w:tcMar>
          </w:tcPr>
          <w:p>
            <w:r>
              <w:rPr>
                <w:rFonts w:ascii="Aptos" w:hAnsi="Aptos" w:eastAsia="Aptos"/>
                <w:color w:val="16211F"/>
                <w:sz w:val="19"/>
              </w:rPr>
              <w:t>Açık adres, ada/parsel, saha sorumlusu ve erişim kuralları: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 sıfatı</w:t>
            </w:r>
          </w:p>
        </w:tc>
        <w:tc>
          <w:tcPr>
            <w:tcW w:type="dxa" w:w="6660"/>
            <w:vAlign w:val="center"/>
            <w:tcMar>
              <w:top w:w="90" w:type="dxa"/>
              <w:start w:w="120" w:type="dxa"/>
              <w:bottom w:w="90" w:type="dxa"/>
              <w:end w:w="120" w:type="dxa"/>
            </w:tcMar>
          </w:tcPr>
          <w:p>
            <w:r>
              <w:rPr>
                <w:rFonts w:ascii="Aptos" w:hAnsi="Aptos" w:eastAsia="Aptos"/>
                <w:color w:val="16211F"/>
                <w:sz w:val="19"/>
              </w:rPr>
              <w:t>[●] Her iki taraf tacir  [●] Müşteri tüketici  [●] Kamu kurumu  [●] Site/apartman yönetimi  [●] Diğer: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Tebligat ve operasyon kanalı</w:t>
            </w:r>
          </w:p>
        </w:tc>
        <w:tc>
          <w:tcPr>
            <w:tcW w:type="dxa" w:w="6660"/>
            <w:vAlign w:val="center"/>
            <w:tcMar>
              <w:top w:w="90" w:type="dxa"/>
              <w:start w:w="120" w:type="dxa"/>
              <w:bottom w:w="90" w:type="dxa"/>
              <w:end w:w="120" w:type="dxa"/>
            </w:tcMar>
          </w:tcPr>
          <w:p>
            <w:r>
              <w:rPr>
                <w:rFonts w:ascii="Aptos" w:hAnsi="Aptos" w:eastAsia="Aptos"/>
                <w:color w:val="16211F"/>
                <w:sz w:val="19"/>
              </w:rPr>
              <w:t>Hukuki bildirim: [KEP/noter/iadeli taahhütlü/elden] [●]</w:t>
              <w:br/>
              <w:t>Günlük operasyon: [e-posta/yazılım] [●]</w:t>
              <w:br/>
              <w:t>Yetkili kişiler: [●]</w:t>
            </w:r>
          </w:p>
        </w:tc>
      </w:tr>
    </w:tbl>
    <w:p>
      <w:pPr>
        <w:pStyle w:val="Heading1"/>
      </w:pPr>
      <w:r>
        <w:t>1. Konu ve tasarım sorumluluğu</w:t>
      </w:r>
    </w:p>
    <w:p>
      <w:pPr/>
      <w:r>
        <w:t>Yüklenici [proje alanı] otomatik sulama sistemini Ek-1 onaylı projeye göre tedarik, montaj, test ve devreye alır. Tasarım sorumluluğu: [●] iş sahibinin tasarımcısında / [●] yüklenicide / [●] paylaşımlı. Paylaşımlı ise her tarafın hesap, detay, saha uyarlaması ve onay sorumluluğu Ek-2'de gösterilir.</w:t>
      </w:r>
    </w:p>
    <w:p>
      <w:pPr/>
      <w:r>
        <w:t>Sahadaki su kaynağı debi, statik/dinamik basınç, su kalitesi, elektrik, kot, boru güzergâhı ve diğer altyapı verileri başlangıç tutanağına işlenir. Bu değerlerin projeden farklı çıkması değişiklik emri gerektirir.</w:t>
      </w:r>
    </w:p>
    <w:p>
      <w:pPr>
        <w:pStyle w:val="Heading1"/>
      </w:pPr>
      <w:r>
        <w:t>2. Sistem kapsamı</w:t>
      </w:r>
    </w:p>
    <w:p>
      <w:pPr>
        <w:numPr>
          <w:ilvl w:val="0"/>
          <w:numId w:val="1"/>
        </w:numPr>
      </w:pPr>
      <w:r>
        <w:rPr>
          <w:rFonts w:ascii="Aptos" w:hAnsi="Aptos" w:eastAsia="Aptos"/>
          <w:color w:val="16211F"/>
          <w:sz w:val="22"/>
        </w:rPr>
        <w:t>Ana ve lateral borular, ek parçalar, vana kutuları, izolasyon/kontrol vanaları ve gerekli ankrajlar.</w:t>
      </w:r>
    </w:p>
    <w:p>
      <w:pPr>
        <w:numPr>
          <w:ilvl w:val="0"/>
          <w:numId w:val="1"/>
        </w:numPr>
      </w:pPr>
      <w:r>
        <w:rPr>
          <w:rFonts w:ascii="Aptos" w:hAnsi="Aptos" w:eastAsia="Aptos"/>
          <w:color w:val="16211F"/>
          <w:sz w:val="22"/>
        </w:rPr>
        <w:t>Sprink, rotor, damla sulama, kök bölgesi sulama veya mikro sulama elemanları; nozul ve basınç düzenleme bileşenleri.</w:t>
      </w:r>
    </w:p>
    <w:p>
      <w:pPr>
        <w:numPr>
          <w:ilvl w:val="0"/>
          <w:numId w:val="1"/>
        </w:numPr>
      </w:pPr>
      <w:r>
        <w:rPr>
          <w:rFonts w:ascii="Aptos" w:hAnsi="Aptos" w:eastAsia="Aptos"/>
          <w:color w:val="16211F"/>
          <w:sz w:val="22"/>
        </w:rPr>
        <w:t>Filtrasyon, basınç düzenleme, pompa/hidrofor ve geri akış önleme bileşenleri [dahil/değil].</w:t>
      </w:r>
    </w:p>
    <w:p>
      <w:pPr>
        <w:numPr>
          <w:ilvl w:val="0"/>
          <w:numId w:val="1"/>
        </w:numPr>
      </w:pPr>
      <w:r>
        <w:rPr>
          <w:rFonts w:ascii="Aptos" w:hAnsi="Aptos" w:eastAsia="Aptos"/>
          <w:color w:val="16211F"/>
          <w:sz w:val="22"/>
        </w:rPr>
        <w:t>Kontrol paneli, dekoder/solenoid, kablo, bağlantı, sensör, uzaktan erişim ve yazılım lisansı [dahil/değil].</w:t>
      </w:r>
    </w:p>
    <w:p>
      <w:pPr>
        <w:numPr>
          <w:ilvl w:val="0"/>
          <w:numId w:val="1"/>
        </w:numPr>
      </w:pPr>
      <w:r>
        <w:rPr>
          <w:rFonts w:ascii="Aptos" w:hAnsi="Aptos" w:eastAsia="Aptos"/>
          <w:color w:val="16211F"/>
          <w:sz w:val="22"/>
        </w:rPr>
        <w:t>Kazı, dolgu, yüzey onarımı, elektrik panosu beslemesi, su deposu, kuyu ve ruhsat işleri [dahil/değil].</w:t>
      </w:r>
    </w:p>
    <w:p>
      <w:pPr>
        <w:pStyle w:val="Heading1"/>
      </w:pPr>
      <w:r>
        <w:t>3. Malzeme ve eşdeğer ürün</w:t>
      </w:r>
    </w:p>
    <w:p>
      <w:pPr/>
      <w:r>
        <w:t>Marka/model, çap, basınç sınıfı, filtrasyon derecesi, vana/sprink debi aralığı, kontrolör istasyon sayısı ve garanti bilgisi Ek-3'te listelenir. Ürün değişikliği ancak hidrolik hesap, uyumluluk, servis/yedek parça, garanti ve fiyat etkisiyle yazılı onaylanır. Onay uygunluk sorumluluğunu kaldırmaz.</w:t>
      </w:r>
    </w:p>
    <w:p>
      <w:pPr>
        <w:pStyle w:val="Heading1"/>
      </w:pPr>
      <w:r>
        <w:t>4. Uygulama, koordinasyon ve gizli işler</w:t>
      </w:r>
    </w:p>
    <w:p>
      <w:pPr/>
      <w:r>
        <w:t>Boru derinliği, yataklama, hat işaretleme, yol/sert zemin geçişi, kablo-boru ayrımı ve vana kutusu kotları projede/özel şartnamede belirlenir. Kök bölgesi, temel, drenaj, elektrik ve diğer hatlarla güvenli mesafe korunur. Gizli işler kapatılmadan fotoğraf, ölçü ve kontrol kaydı alınır.</w:t>
      </w:r>
    </w:p>
    <w:p>
      <w:pPr/>
      <w:r>
        <w:t>Saha nedeniyle zorunlu güzergâh/nozul değişikliği as-built projeye işlenir; tasarım performansını etkileyen değişiklik için proje müellifi/onay yetkilisinin yazılı görüşü alınır.</w:t>
      </w:r>
    </w:p>
    <w:p>
      <w:pPr>
        <w:pStyle w:val="Heading1"/>
      </w:pPr>
      <w:r>
        <w:t>5. Test ve performans kabulü</w:t>
      </w:r>
    </w:p>
    <w:p>
      <w:pPr>
        <w:numPr>
          <w:ilvl w:val="0"/>
          <w:numId w:val="1"/>
        </w:numPr>
      </w:pPr>
      <w:r>
        <w:rPr>
          <w:rFonts w:ascii="Aptos" w:hAnsi="Aptos" w:eastAsia="Aptos"/>
          <w:color w:val="16211F"/>
          <w:sz w:val="22"/>
        </w:rPr>
        <w:t>Hatlar kapatılmadan önce proje özelindeki basınç/sızdırmazlık testine tabi tutulur; süre, basınç ve sonuç tutanağa yazılır.</w:t>
      </w:r>
    </w:p>
    <w:p>
      <w:pPr>
        <w:numPr>
          <w:ilvl w:val="0"/>
          <w:numId w:val="1"/>
        </w:numPr>
      </w:pPr>
      <w:r>
        <w:rPr>
          <w:rFonts w:ascii="Aptos" w:hAnsi="Aptos" w:eastAsia="Aptos"/>
          <w:color w:val="16211F"/>
          <w:sz w:val="22"/>
        </w:rPr>
        <w:t>Hatlar yıkanır, filtreler temizlenir, vana ve istasyonlar tek tek çalıştırılır.</w:t>
      </w:r>
    </w:p>
    <w:p>
      <w:pPr>
        <w:numPr>
          <w:ilvl w:val="0"/>
          <w:numId w:val="1"/>
        </w:numPr>
      </w:pPr>
      <w:r>
        <w:rPr>
          <w:rFonts w:ascii="Aptos" w:hAnsi="Aptos" w:eastAsia="Aptos"/>
          <w:color w:val="16211F"/>
          <w:sz w:val="22"/>
        </w:rPr>
        <w:t>Kritik zonlarda işletme debisi ve en olumsuz noktadaki basınç ölçülür; tasarım değerleriyle karşılaştırılır.</w:t>
      </w:r>
    </w:p>
    <w:p>
      <w:pPr>
        <w:numPr>
          <w:ilvl w:val="0"/>
          <w:numId w:val="1"/>
        </w:numPr>
      </w:pPr>
      <w:r>
        <w:rPr>
          <w:rFonts w:ascii="Aptos" w:hAnsi="Aptos" w:eastAsia="Aptos"/>
          <w:color w:val="16211F"/>
          <w:sz w:val="22"/>
        </w:rPr>
        <w:t>Başlık ayarı, çakışan kapsama, taşma/erozyon, yol-yapı ıslatması ve damla hat debisi kontrol edilir.</w:t>
      </w:r>
    </w:p>
    <w:p>
      <w:pPr>
        <w:numPr>
          <w:ilvl w:val="0"/>
          <w:numId w:val="1"/>
        </w:numPr>
      </w:pPr>
      <w:r>
        <w:rPr>
          <w:rFonts w:ascii="Aptos" w:hAnsi="Aptos" w:eastAsia="Aptos"/>
          <w:color w:val="16211F"/>
          <w:sz w:val="22"/>
        </w:rPr>
        <w:t>Kontrol programı, sensör, alarm/uzaktan bağlantı, mevsimsel ayar ve manuel kapatma gösterilir.</w:t>
      </w:r>
    </w:p>
    <w:p>
      <w:pPr>
        <w:pStyle w:val="Heading1"/>
      </w:pPr>
      <w:r>
        <w:t>6. Teslim belgeleri ve eğitim</w:t>
      </w:r>
    </w:p>
    <w:p>
      <w:pPr/>
      <w:r>
        <w:t>Geçici kabulde as-built plan, zon/istasyon tablosu, vana kutusu koordinat/fotoğrafları, ürün föyleri, garanti belgeleri, test tutanakları, kontrolör yedeği, kullanıcı yetkileri ve bakım planı teslim edilir. İş sahibi temsilcisine [●] saat uygulamalı eğitim verilir; eğitim tutanağı imzalanır.</w:t>
      </w:r>
    </w:p>
    <w:p>
      <w:pPr>
        <w:pStyle w:val="Heading1"/>
      </w:pPr>
      <w:r>
        <w:t>7. Bedel, değişiklik ve ödeme</w:t>
      </w:r>
    </w:p>
    <w:p>
      <w:pPr/>
      <w:r>
        <w:t>Sözleşme bedeli KDV hariç [●] TL'dir. Ödeme: avans [%●], malzeme sevki [%●], montaj [%●], test/geçici kabul [%●], kesin kabul [%●]. Elektrik/su tüketimi, kazı fazlası, kaya, gizli hat, yüzey onarımı ve gece çalışmasının dahil durumu Ek-4'tedir.</w:t>
      </w:r>
    </w:p>
    <w:p>
      <w:pPr/>
      <w:r>
        <w:t>Debi/basınç/su kalitesi veya saha verisinin farklı çıkması; pompa, filtre, zon, boru çapı ya da kontrol sistemi değişikliği gerektirirse yazılı fiyat/süre onayı alınır.</w:t>
      </w:r>
    </w:p>
    <w:p>
      <w:pPr>
        <w:pStyle w:val="Heading1"/>
      </w:pPr>
      <w:r>
        <w:t>8. Garanti, bakım ve istisnalar</w:t>
      </w:r>
    </w:p>
    <w:p>
      <w:pPr/>
      <w:r>
        <w:t>İmalat garantisi [●] ay, üretici ürün garantileri Ek-3'tedir. Don boşaltması, sezon açılış/kapanış, filtre temizliği, pil, yazılım/iletişim aboneliği ve periyodik bakım [dahil/değil]. Garanti; hatalı kullanım, onaysız üçüncü kişi müdahalesi, normal aşınma, su kalitesinin beyan dışı olması veya şebeke koşullarının tasarım aralığı dışında kalmasıyla nedensellik ölçüsünde sınırlandırılır.</w:t>
      </w:r>
    </w:p>
    <w:p>
      <w:pPr/>
      <w:r>
        <w:t>Kasıt, ağır kusur, tüketici hakları ve kanuni ayıp sorumluluğu saklıdır. TBK 478'deki zamanaşımı süreleri eserin niteliğine göre ayrıca değerlendirilir; sözleşmedeki ticari garanti kanuni hakları kısaltmaz.</w:t>
      </w:r>
    </w:p>
    <w:p>
      <w:pPr>
        <w:pStyle w:val="Heading1"/>
      </w:pPr>
      <w:r>
        <w:t>9. İSG ve çevre</w:t>
      </w:r>
    </w:p>
    <w:p>
      <w:pPr/>
      <w:r>
        <w:t>Kazı, elektrik, basınçlı hat, kaldırma ve saha trafiği riskleri için çalışma planı uygulanır. Açık kazılar çevrilir; mevcut altyapı teyit edilmeden mekanik kazı yapılmaz. Su israfını azaltacak test ve programlama yapılır; drenaja/komşu alana kontrolsüz deşarj önlenir.</w:t>
      </w:r>
    </w:p>
    <w:p>
      <w:pPr>
        <w:pStyle w:val="Heading1"/>
      </w:pPr>
      <w:r>
        <w:t>Kişisel veriler ve gizlilik</w:t>
      </w:r>
    </w:p>
    <w:p>
      <w:pPr/>
      <w:r>
        <w:t>Taraflar, sözleşmenin kurulması ve ifası için gerekli kişisel verileri 6698 sayılı Kanun ve ilgili ikincil düzenlemelere uygun olarak, belirli ve meşru amaçlarla, ölçülü biçimde işler. Her taraf kendi veri sorumlusu yükümlülüklerinden sorumludur. Personel listesi, kamera kaydı, konum veya iletişim bilgilerinin paylaşımı gerekiyorsa veri kategorileri, amaç, saklama süresi, alıcı grupları ve güvenlik tedbirleri Ek-[●] içinde gösterilir.</w:t>
      </w:r>
    </w:p>
    <w:p>
      <w:pPr/>
      <w:r>
        <w:t>Taraflar ticari sırları ve proje bilgilerini yalnızca sözleşmenin ifası amacıyla kullanır. Kanuni bildirim yükümlülükleri ile yetkili makam talepleri saklıdır. Gizlilik süresi: [●] yıl / kanuni süre boyunca.</w:t>
      </w:r>
    </w:p>
    <w:p>
      <w:pPr>
        <w:pStyle w:val="Heading1"/>
      </w:pPr>
      <w:r>
        <w:t>Fikrî haklar ve dosya kullanımı</w:t>
      </w:r>
    </w:p>
    <w:p>
      <w:pPr/>
      <w:r>
        <w:t>Özgün plan, proje, detay, görsel, hesap, rapor ve çizimlerin eser niteliği taşıdığı ölçüde mali ve manevi hakları 5846 sayılı Kanuna tabidir. Bedelin tamamının ödenmesiyle müşteriye aşağıdaki kapsamda kullanım izni verilir: proje yeri [●], amaç [●], süre [●], çoğaltma/uyarlama yetkisi [●]. Hak devri amaçlanıyorsa devredilen mali haklar ayrı ayrı, yazılı ve açık biçimde sayılmalıdır.</w:t>
      </w:r>
    </w:p>
    <w:p>
      <w:pPr/>
      <w:r>
        <w:t>Kaynak çalışma dosyaları, üçüncü kişi yazılımları/lisansları, kütüphaneler ve tasarımcının genel bilgi birikimi açıkça aksi kararlaştırılmadıkça devre dahil değildir. Eserde yapılacak değişiklikler teknik sorumluluk ve manevi haklar bakımından tasarımcıya bildirilir.</w:t>
      </w:r>
    </w:p>
    <w:p>
      <w:pPr>
        <w:pStyle w:val="Heading1"/>
      </w:pPr>
      <w:r>
        <w:t>Mücbir sebep ve öngörülemeyen hâller</w:t>
      </w:r>
    </w:p>
    <w:p>
      <w:pPr/>
      <w:r>
        <w:t>Tarafın makul kontrolü dışında gelişen, sözleşme tarihinde öngörülemeyen ve edimin ifasını geçici veya kalıcı olarak engelleyen olaylar, etkisi ölçüsünde değerlendirilir. Etkilenen taraf [3] iş günü içinde olayı, beklenen süreyi ve azaltma tedbirlerini belgeleriyle bildirir. Salt fiyat artışı veya finansman güçlüğü kendiliğinden mücbir sebep sayılmaz; Türk Borçlar Kanunu'nun aşırı ifa güçlüğüne ilişkin emredici değerlendirmesi saklıdır.</w:t>
      </w:r>
    </w:p>
    <w:p>
      <w:pPr/>
      <w:r>
        <w:t>Kesinti [30] günü aşarsa taraflar süre/bedel uyarlamasını görüşür; anlaşma olmazsa kanuni haklar saklı kalmak üzere sözleşme yazılı bildirimle sona erdirilebilir. Tamamlanmış ve kullanılabilir işlerin bedeli ile makul söküm/koruma giderleri hesaplanır.</w:t>
      </w:r>
    </w:p>
    <w:p>
      <w:pPr>
        <w:pStyle w:val="Heading1"/>
      </w:pPr>
      <w:r>
        <w:t>Fesih, temerrüt ve sonuçları</w:t>
      </w:r>
    </w:p>
    <w:p>
      <w:pPr/>
      <w:r>
        <w:t>Esaslı ihlalde, ihlalin niteliği gereği derhâl fesih hakkı saklı olmak üzere, karşı tarafa ihlali gidermesi için [7/14] günlük yazılı süre verilir. Sürede giderilmeyen ihlal hâlinde sözleşme ileriye etkili feshedilebilir veya kanunun izin verdiği diğer haklar kullanılabilir.</w:t>
      </w:r>
    </w:p>
    <w:p>
      <w:pPr/>
      <w:r>
        <w:t>Fesihte işin mevcut seviyesi ortak tutanakla belirlenir; teslim edilebilir dokümanlar, malzemeler, anahtarlar ve veriler iade edilir. Hak edilmiş bedel, kabul edilebilir iş, kusur giderim maliyeti ve kanunen istenebilecek zararlar ayrı kalemler hâlinde hesaplanır. Tüketicinin ve emredici hükümlerin sağladığı haklar sınırlandırılamaz.</w:t>
      </w:r>
    </w:p>
    <w:p>
      <w:pPr>
        <w:pStyle w:val="Heading1"/>
      </w:pPr>
      <w:r>
        <w:t>Uyuşmazlık ve uygulanacak hukuk</w:t>
      </w:r>
    </w:p>
    <w:p>
      <w:pPr/>
      <w:r>
        <w:t>Sözleşmeye Türk hukuku uygulanır. Müşteri tüketici ise görevli ve yetkili merci, 6502 sayılı Kanun ile ilgili yıllık parasal sınırlar uyarınca tüketici hakem heyeti veya tüketici mahkemesidir; emredici yetki kuralları saklıdır. Dava şartı arabuluculuk gereken uyuşmazlıklarda dava öncesi başvuru yapılır.</w:t>
      </w:r>
    </w:p>
    <w:p>
      <w:pPr/>
      <w:r>
        <w:t>Her iki tarafın tacir olduğu ticari işlerde, dava şartı arabuluculuk hükümleri saklı kalmak üzere [●] Mahkemeleri ve İcra Daireleri yetkilidir. Bu yetki kaydı tacir olmayan taraf bakımından emredici yetki kurallarını bertaraf etmez.</w:t>
      </w:r>
    </w:p>
    <w:p>
      <w:pPr/>
      <w:r>
        <w:t>Kamu işi, yabancılık unsuru, tahkim veya birden fazla taşınmaz söz konusuysa bu madde mutlaka ayrıca hukukçu tarafından uyarlanmalıdır.</w:t>
      </w:r>
    </w:p>
    <w:p>
      <w:pPr>
        <w:pStyle w:val="Heading1"/>
      </w:pPr>
      <w:r>
        <w:t>Bütünlük, değişiklik ve nüshalar</w:t>
      </w:r>
    </w:p>
    <w:p>
      <w:pPr/>
      <w:r>
        <w:t>Sözleşme ve ekleri tarafların anlaşmasının bütününü oluşturur. Değişiklikler yetkili temsilcilerce yazılı onaylanır. Operasyonel e-postalar yalnızca sözleşmede yetkilendirilmiş kişilerin ve belirlenmiş limitlerin içinde değişiklik emri sayılır. Herhangi bir hükmün geçersizliği kalan hükümlerin geçerliliğini etkilemez; geçersiz hüküm, amaca en yakın geçerli düzenlemeyle değiştirilir.</w:t>
      </w:r>
    </w:p>
    <w:p>
      <w:pPr/>
      <w:r>
        <w:t>Sözleşme [●] nüsha olarak / güvenli elektronik imzayla imzalanmıştır. Damga vergisi ve diğer mali yükümlülükler için mali müşavir kontrolü yapılır; yükümlülüğün taraflar arasındaki paylaşımı kamuya karşı yasal sorumluluğu ortadan kaldırmaz.</w:t>
      </w:r>
    </w:p>
    <w:p>
      <w:pPr>
        <w:pStyle w:val="Heading1"/>
      </w:pPr>
      <w:r>
        <w:t>Önerilen ekler</w:t>
      </w:r>
    </w:p>
    <w:p>
      <w:pPr>
        <w:numPr>
          <w:ilvl w:val="0"/>
          <w:numId w:val="1"/>
        </w:numPr>
      </w:pPr>
      <w:r>
        <w:rPr>
          <w:rFonts w:ascii="Aptos" w:hAnsi="Aptos" w:eastAsia="Aptos"/>
          <w:color w:val="16211F"/>
          <w:sz w:val="22"/>
        </w:rPr>
        <w:t>Ek-1 Onaylı sulama uygulama projesi</w:t>
      </w:r>
    </w:p>
    <w:p>
      <w:pPr>
        <w:numPr>
          <w:ilvl w:val="0"/>
          <w:numId w:val="1"/>
        </w:numPr>
      </w:pPr>
      <w:r>
        <w:rPr>
          <w:rFonts w:ascii="Aptos" w:hAnsi="Aptos" w:eastAsia="Aptos"/>
          <w:color w:val="16211F"/>
          <w:sz w:val="22"/>
        </w:rPr>
        <w:t>Ek-2 Tasarım/uygulama sorumluluk matrisi</w:t>
      </w:r>
    </w:p>
    <w:p>
      <w:pPr>
        <w:numPr>
          <w:ilvl w:val="0"/>
          <w:numId w:val="1"/>
        </w:numPr>
      </w:pPr>
      <w:r>
        <w:rPr>
          <w:rFonts w:ascii="Aptos" w:hAnsi="Aptos" w:eastAsia="Aptos"/>
          <w:color w:val="16211F"/>
          <w:sz w:val="22"/>
        </w:rPr>
        <w:t>Ek-3 Malzeme ve marka/model çizelgesi</w:t>
      </w:r>
    </w:p>
    <w:p>
      <w:pPr>
        <w:numPr>
          <w:ilvl w:val="0"/>
          <w:numId w:val="1"/>
        </w:numPr>
      </w:pPr>
      <w:r>
        <w:rPr>
          <w:rFonts w:ascii="Aptos" w:hAnsi="Aptos" w:eastAsia="Aptos"/>
          <w:color w:val="16211F"/>
          <w:sz w:val="22"/>
        </w:rPr>
        <w:t>Ek-4 Keşif, dahil-hariç işler ve ödeme planı</w:t>
      </w:r>
    </w:p>
    <w:p>
      <w:pPr>
        <w:numPr>
          <w:ilvl w:val="0"/>
          <w:numId w:val="1"/>
        </w:numPr>
      </w:pPr>
      <w:r>
        <w:rPr>
          <w:rFonts w:ascii="Aptos" w:hAnsi="Aptos" w:eastAsia="Aptos"/>
          <w:color w:val="16211F"/>
          <w:sz w:val="22"/>
        </w:rPr>
        <w:t>Ek-5 Hidrolik hesap ve tasarım kriterleri</w:t>
      </w:r>
    </w:p>
    <w:p>
      <w:pPr>
        <w:numPr>
          <w:ilvl w:val="0"/>
          <w:numId w:val="1"/>
        </w:numPr>
      </w:pPr>
      <w:r>
        <w:rPr>
          <w:rFonts w:ascii="Aptos" w:hAnsi="Aptos" w:eastAsia="Aptos"/>
          <w:color w:val="16211F"/>
          <w:sz w:val="22"/>
        </w:rPr>
        <w:t>Ek-6 Test ve devreye alma formu</w:t>
      </w:r>
    </w:p>
    <w:p>
      <w:pPr>
        <w:numPr>
          <w:ilvl w:val="0"/>
          <w:numId w:val="1"/>
        </w:numPr>
      </w:pPr>
      <w:r>
        <w:rPr>
          <w:rFonts w:ascii="Aptos" w:hAnsi="Aptos" w:eastAsia="Aptos"/>
          <w:color w:val="16211F"/>
          <w:sz w:val="22"/>
        </w:rPr>
        <w:t>Ek-7 As-built ve eğitim teslim listesi</w:t>
      </w:r>
    </w:p>
    <w:p>
      <w:pPr>
        <w:numPr>
          <w:ilvl w:val="0"/>
          <w:numId w:val="1"/>
        </w:numPr>
      </w:pPr>
      <w:r>
        <w:rPr>
          <w:rFonts w:ascii="Aptos" w:hAnsi="Aptos" w:eastAsia="Aptos"/>
          <w:color w:val="16211F"/>
          <w:sz w:val="22"/>
        </w:rPr>
        <w:t>Ek-8 Değişiklik emri formu</w:t>
      </w:r>
    </w:p>
    <w:p>
      <w:pPr>
        <w:pStyle w:val="Heading1"/>
      </w:pPr>
      <w:r>
        <w:t>İmza ve ek kontrolü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Ek-1 [●] • Ek-2 [●] • Ek-3 [●] • Ek-4 [●] • Ek-5 [●]</w:t>
            </w:r>
          </w:p>
        </w:tc>
      </w:tr>
    </w:tbl>
    <w:p>
      <w:pPr>
        <w:pStyle w:val="Heading1"/>
      </w:pPr>
      <w:r>
        <w:t>Hukuki dayanak ve güncellik notu</w:t>
      </w:r>
    </w:p>
    <w:p>
      <w:r>
        <w:t>Bu şablon hazırlanırken aşağıdaki resmî kaynaklar esas alınmıştır. Erişim tarihi: 20 Ağustos 2026. Mevzuat ve parasal sınırlar değişebileceğinden imza tarihinde yeniden kontrol edilmelidir.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2F4F0"/>
        <w:pBdr>
          <w:left w:val="single" w:sz="18" w:space="8" w:color="96A984"/>
        </w:pBdr>
      </w:pPr>
      <w:r>
        <w:rPr>
          <w:rFonts w:ascii="Aptos" w:hAnsi="Aptos" w:eastAsia="Aptos"/>
          <w:b/>
          <w:color w:val="4D6765"/>
          <w:sz w:val="18"/>
        </w:rPr>
        <w:t>PEYSED KULLANIM ILKESI</w:t>
      </w:r>
    </w:p>
    <w:p>
      <w:pPr>
        <w:spacing w:before="0" w:after="160"/>
        <w:shd w:fill="F2F4F0"/>
        <w:pBdr>
          <w:left w:val="single" w:sz="18" w:space="8" w:color="96A984"/>
        </w:pBdr>
      </w:pPr>
      <w:r>
        <w:rPr>
          <w:rFonts w:ascii="Aptos" w:hAnsi="Aptos" w:eastAsia="Aptos"/>
          <w:color w:val="16211F"/>
          <w:sz w:val="20"/>
        </w:rPr>
        <w:t>Şablon ücretsiz bir sektör kılavuzudur. PEYSED taraf değildir; somut sözleşmenin hazırlanması, müzakere edilmesi ve uygulanmasından kullanıcılar sorumludur. Şablonun varlığı, proje ve keşif hizmetlerinin ücretsiz olduğu anlamına gelmez; kapsam ve ücret ayrı ve açık biçimde kararlaştırılmalıdır.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Otomatik Sulama Sistemi Uygulama Sözleşmesi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