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PEYSED-SÖZ-01</w:t>
      </w:r>
    </w:p>
    <w:p>
      <w:pPr>
        <w:spacing w:after="160"/>
      </w:pPr>
      <w:r>
        <w:rPr>
          <w:rFonts w:ascii="Aptos Display" w:hAnsi="Aptos Display" w:eastAsia="Aptos Display"/>
          <w:b/>
          <w:color w:val="16211F"/>
          <w:sz w:val="50"/>
        </w:rPr>
        <w:t>Peyzaj Bakım Hizmetleri Sözleşmesi</w:t>
      </w:r>
    </w:p>
    <w:p>
      <w:pPr>
        <w:spacing w:after="360"/>
      </w:pPr>
      <w:r>
        <w:rPr>
          <w:rFonts w:ascii="Aptos" w:hAnsi="Aptos" w:eastAsia="Aptos"/>
          <w:color w:val="4D6765"/>
          <w:sz w:val="25"/>
        </w:rPr>
        <w:t>Periyodik bakım, raporlama, malzeme ve performans sınırlarını görünür kılan örnek sözleşme.</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bakım firmaları, site/tesis yönetimleri, işletmeler ve bireysel müşteriler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Taraf ve işlem sınıflandırması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Unvan/ad soyad: [●]</w:t>
              <w:br/>
              <w:t>MERSİS/VKN/TCKN: [●]</w:t>
              <w:br/>
              <w:t>Adres/KEP/e-posta: [●]</w:t>
              <w:br/>
              <w:t>Yetkili: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Unvan: [●]</w:t>
              <w:br/>
              <w:t>MERSİS/VKN: [●]</w:t>
              <w:br/>
              <w:t>Adres/KEP/e-posta: [●]</w:t>
              <w:br/>
              <w:t>Yetkili: [●]</w:t>
              <w:br/>
              <w:t>Mesleki yetki/oda bilgisi (varsa):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w:t>
            </w:r>
          </w:p>
        </w:tc>
        <w:tc>
          <w:tcPr>
            <w:tcW w:type="dxa" w:w="6660"/>
            <w:vAlign w:val="center"/>
            <w:tcMar>
              <w:top w:w="90" w:type="dxa"/>
              <w:start w:w="120" w:type="dxa"/>
              <w:bottom w:w="90" w:type="dxa"/>
              <w:end w:w="120" w:type="dxa"/>
            </w:tcMar>
          </w:tcPr>
          <w:p>
            <w:r>
              <w:rPr>
                <w:rFonts w:ascii="Aptos" w:hAnsi="Aptos" w:eastAsia="Aptos"/>
                <w:color w:val="16211F"/>
                <w:sz w:val="19"/>
              </w:rPr>
              <w:t>Açık adres, ada/parsel, saha sorumlusu ve erişim kuralları: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 sıfatı</w:t>
            </w:r>
          </w:p>
        </w:tc>
        <w:tc>
          <w:tcPr>
            <w:tcW w:type="dxa" w:w="6660"/>
            <w:vAlign w:val="center"/>
            <w:tcMar>
              <w:top w:w="90" w:type="dxa"/>
              <w:start w:w="120" w:type="dxa"/>
              <w:bottom w:w="90" w:type="dxa"/>
              <w:end w:w="120" w:type="dxa"/>
            </w:tcMar>
          </w:tcPr>
          <w:p>
            <w:r>
              <w:rPr>
                <w:rFonts w:ascii="Aptos" w:hAnsi="Aptos" w:eastAsia="Aptos"/>
                <w:color w:val="16211F"/>
                <w:sz w:val="19"/>
              </w:rPr>
              <w:t>[●] Her iki taraf tacir  [●] Müşteri tüketici  [●] Kamu kurumu  [●] Site/apartman yönetimi  [●] Diğer: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Tebligat ve operasyon kanalı</w:t>
            </w:r>
          </w:p>
        </w:tc>
        <w:tc>
          <w:tcPr>
            <w:tcW w:type="dxa" w:w="6660"/>
            <w:vAlign w:val="center"/>
            <w:tcMar>
              <w:top w:w="90" w:type="dxa"/>
              <w:start w:w="120" w:type="dxa"/>
              <w:bottom w:w="90" w:type="dxa"/>
              <w:end w:w="120" w:type="dxa"/>
            </w:tcMar>
          </w:tcPr>
          <w:p>
            <w:r>
              <w:rPr>
                <w:rFonts w:ascii="Aptos" w:hAnsi="Aptos" w:eastAsia="Aptos"/>
                <w:color w:val="16211F"/>
                <w:sz w:val="19"/>
              </w:rPr>
              <w:t>Hukuki bildirim: [KEP/noter/iadeli taahhütlü/elden] [●]</w:t>
              <w:br/>
              <w:t>Günlük operasyon: [e-posta/yazılım] [●]</w:t>
              <w:br/>
              <w:t>Yetkili kişiler: [●]</w:t>
            </w:r>
          </w:p>
        </w:tc>
      </w:tr>
    </w:tbl>
    <w:p>
      <w:pPr>
        <w:pStyle w:val="Heading1"/>
      </w:pPr>
      <w:r>
        <w:t>1. Sözleşmenin konusu ve süresi</w:t>
      </w:r>
    </w:p>
    <w:p>
      <w:pPr/>
      <w:r>
        <w:t>Yüklenici, Ek-1'de sınırları gösterilen alanda Ek-2 bakım programındaki hizmetleri mesleki ve teknik kurallara uygun olarak sunar. Başlangıç: [●], bitiş: [●]. Deneme/kurulum dönemi: [●]. Yenileme: [otomatik değildir / yazılı mutabakatla].</w:t>
      </w:r>
    </w:p>
    <w:p>
      <w:pPr/>
      <w:r>
        <w:t>Bakım hizmeti sonuç garantisi değil, özen borcu içerir. Bitki kayıplarının nedeni; sulama, toprak, hastalık, iklim, vandalizm, yanlış kullanım ve bakım kayıtları birlikte değerlendirilir.</w:t>
      </w:r>
    </w:p>
    <w:p>
      <w:pPr>
        <w:pStyle w:val="Heading1"/>
      </w:pPr>
      <w:r>
        <w:t>2. Hizmet programı ve kapsam matrisi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350"/>
        <w:gridCol w:w="1500"/>
        <w:gridCol w:w="3510"/>
        <w:gridCol w:w="2000"/>
      </w:tblGrid>
      <w:tr>
        <w:trPr>
          <w:tblHeader w:val="true"/>
        </w:trPr>
        <w:tc>
          <w:tcPr>
            <w:tcW w:type="dxa" w:w="2350"/>
            <w:shd w:fill="4D6765"/>
            <w:tcMar>
              <w:top w:w="90" w:type="dxa"/>
              <w:start w:w="120" w:type="dxa"/>
              <w:bottom w:w="90" w:type="dxa"/>
              <w:end w:w="120" w:type="dxa"/>
            </w:tcMar>
          </w:tcPr>
          <w:p>
            <w:r>
              <w:rPr>
                <w:rFonts w:ascii="Aptos" w:hAnsi="Aptos" w:eastAsia="Aptos"/>
                <w:b/>
                <w:color w:val="FFFFFF"/>
                <w:sz w:val="17"/>
              </w:rPr>
              <w:t>İş kalemi</w:t>
            </w:r>
          </w:p>
        </w:tc>
        <w:tc>
          <w:tcPr>
            <w:tcW w:type="dxa" w:w="1500"/>
            <w:shd w:fill="4D6765"/>
            <w:tcMar>
              <w:top w:w="90" w:type="dxa"/>
              <w:start w:w="120" w:type="dxa"/>
              <w:bottom w:w="90" w:type="dxa"/>
              <w:end w:w="120" w:type="dxa"/>
            </w:tcMar>
          </w:tcPr>
          <w:p>
            <w:r>
              <w:rPr>
                <w:rFonts w:ascii="Aptos" w:hAnsi="Aptos" w:eastAsia="Aptos"/>
                <w:b/>
                <w:color w:val="FFFFFF"/>
                <w:sz w:val="17"/>
              </w:rPr>
              <w:t>Sıklık / dönem</w:t>
            </w:r>
          </w:p>
        </w:tc>
        <w:tc>
          <w:tcPr>
            <w:tcW w:type="dxa" w:w="3510"/>
            <w:shd w:fill="4D6765"/>
            <w:tcMar>
              <w:top w:w="90" w:type="dxa"/>
              <w:start w:w="120" w:type="dxa"/>
              <w:bottom w:w="90" w:type="dxa"/>
              <w:end w:w="120" w:type="dxa"/>
            </w:tcMar>
          </w:tcPr>
          <w:p>
            <w:r>
              <w:rPr>
                <w:rFonts w:ascii="Aptos" w:hAnsi="Aptos" w:eastAsia="Aptos"/>
                <w:b/>
                <w:color w:val="FFFFFF"/>
                <w:sz w:val="17"/>
              </w:rPr>
              <w:t>Dahil olan</w:t>
            </w:r>
          </w:p>
        </w:tc>
        <w:tc>
          <w:tcPr>
            <w:tcW w:type="dxa" w:w="2000"/>
            <w:shd w:fill="4D6765"/>
            <w:tcMar>
              <w:top w:w="90" w:type="dxa"/>
              <w:start w:w="120" w:type="dxa"/>
              <w:bottom w:w="90" w:type="dxa"/>
              <w:end w:w="120" w:type="dxa"/>
            </w:tcMar>
          </w:tcPr>
          <w:p>
            <w:r>
              <w:rPr>
                <w:rFonts w:ascii="Aptos" w:hAnsi="Aptos" w:eastAsia="Aptos"/>
                <w:b/>
                <w:color w:val="FFFFFF"/>
                <w:sz w:val="17"/>
              </w:rPr>
              <w:t>Ölçüm / kayıt</w:t>
            </w:r>
          </w:p>
        </w:tc>
      </w:tr>
      <w:tr>
        <w:tc>
          <w:tcPr>
            <w:tcW w:type="dxa" w:w="2350"/>
            <w:tcMar>
              <w:top w:w="90" w:type="dxa"/>
              <w:start w:w="120" w:type="dxa"/>
              <w:bottom w:w="90" w:type="dxa"/>
              <w:end w:w="120" w:type="dxa"/>
            </w:tcMar>
          </w:tcPr>
          <w:p>
            <w:r>
              <w:rPr>
                <w:rFonts w:ascii="Aptos" w:hAnsi="Aptos" w:eastAsia="Aptos"/>
                <w:color w:val="16211F"/>
                <w:sz w:val="17"/>
              </w:rPr>
              <w:t>Çim biçme ve kenar düzeltme</w:t>
            </w:r>
          </w:p>
        </w:tc>
        <w:tc>
          <w:tcPr>
            <w:tcW w:type="dxa" w:w="1500"/>
            <w:tcMar>
              <w:top w:w="90" w:type="dxa"/>
              <w:start w:w="120" w:type="dxa"/>
              <w:bottom w:w="90" w:type="dxa"/>
              <w:end w:w="120" w:type="dxa"/>
            </w:tcMar>
          </w:tcPr>
          <w:p>
            <w:r>
              <w:rPr>
                <w:rFonts w:ascii="Aptos" w:hAnsi="Aptos" w:eastAsia="Aptos"/>
                <w:color w:val="16211F"/>
                <w:sz w:val="17"/>
              </w:rPr>
              <w:t>[●]</w:t>
            </w:r>
          </w:p>
        </w:tc>
        <w:tc>
          <w:tcPr>
            <w:tcW w:type="dxa" w:w="3510"/>
            <w:tcMar>
              <w:top w:w="90" w:type="dxa"/>
              <w:start w:w="120" w:type="dxa"/>
              <w:bottom w:w="90" w:type="dxa"/>
              <w:end w:w="120" w:type="dxa"/>
            </w:tcMar>
          </w:tcPr>
          <w:p>
            <w:r>
              <w:rPr>
                <w:rFonts w:ascii="Aptos" w:hAnsi="Aptos" w:eastAsia="Aptos"/>
                <w:color w:val="16211F"/>
                <w:sz w:val="17"/>
              </w:rPr>
              <w:t>Biçme, kenar, yüzey temizliği</w:t>
            </w:r>
          </w:p>
        </w:tc>
        <w:tc>
          <w:tcPr>
            <w:tcW w:type="dxa" w:w="2000"/>
            <w:tcMar>
              <w:top w:w="90" w:type="dxa"/>
              <w:start w:w="120" w:type="dxa"/>
              <w:bottom w:w="90" w:type="dxa"/>
              <w:end w:w="120" w:type="dxa"/>
            </w:tcMar>
          </w:tcPr>
          <w:p>
            <w:r>
              <w:rPr>
                <w:rFonts w:ascii="Aptos" w:hAnsi="Aptos" w:eastAsia="Aptos"/>
                <w:color w:val="16211F"/>
                <w:sz w:val="17"/>
              </w:rPr>
              <w:t>m² / tarih / fotoğraf</w:t>
            </w:r>
          </w:p>
        </w:tc>
      </w:tr>
      <w:tr>
        <w:tc>
          <w:tcPr>
            <w:tcW w:type="dxa" w:w="2350"/>
            <w:shd w:fill="F8FAF7"/>
            <w:tcMar>
              <w:top w:w="90" w:type="dxa"/>
              <w:start w:w="120" w:type="dxa"/>
              <w:bottom w:w="90" w:type="dxa"/>
              <w:end w:w="120" w:type="dxa"/>
            </w:tcMar>
          </w:tcPr>
          <w:p>
            <w:r>
              <w:rPr>
                <w:rFonts w:ascii="Aptos" w:hAnsi="Aptos" w:eastAsia="Aptos"/>
                <w:color w:val="16211F"/>
                <w:sz w:val="17"/>
              </w:rPr>
              <w:t>Budama</w:t>
            </w:r>
          </w:p>
        </w:tc>
        <w:tc>
          <w:tcPr>
            <w:tcW w:type="dxa" w:w="1500"/>
            <w:shd w:fill="F8FAF7"/>
            <w:tcMar>
              <w:top w:w="90" w:type="dxa"/>
              <w:start w:w="120" w:type="dxa"/>
              <w:bottom w:w="90" w:type="dxa"/>
              <w:end w:w="120" w:type="dxa"/>
            </w:tcMar>
          </w:tcPr>
          <w:p>
            <w:r>
              <w:rPr>
                <w:rFonts w:ascii="Aptos" w:hAnsi="Aptos" w:eastAsia="Aptos"/>
                <w:color w:val="16211F"/>
                <w:sz w:val="17"/>
              </w:rPr>
              <w:t>[●]</w:t>
            </w:r>
          </w:p>
        </w:tc>
        <w:tc>
          <w:tcPr>
            <w:tcW w:type="dxa" w:w="3510"/>
            <w:shd w:fill="F8FAF7"/>
            <w:tcMar>
              <w:top w:w="90" w:type="dxa"/>
              <w:start w:w="120" w:type="dxa"/>
              <w:bottom w:w="90" w:type="dxa"/>
              <w:end w:w="120" w:type="dxa"/>
            </w:tcMar>
          </w:tcPr>
          <w:p>
            <w:r>
              <w:rPr>
                <w:rFonts w:ascii="Aptos" w:hAnsi="Aptos" w:eastAsia="Aptos"/>
                <w:color w:val="16211F"/>
                <w:sz w:val="17"/>
              </w:rPr>
              <w:t>Tür ve mevsime uygun form/sağlık budaması</w:t>
            </w:r>
          </w:p>
        </w:tc>
        <w:tc>
          <w:tcPr>
            <w:tcW w:type="dxa" w:w="2000"/>
            <w:shd w:fill="F8FAF7"/>
            <w:tcMar>
              <w:top w:w="90" w:type="dxa"/>
              <w:start w:w="120" w:type="dxa"/>
              <w:bottom w:w="90" w:type="dxa"/>
              <w:end w:w="120" w:type="dxa"/>
            </w:tcMar>
          </w:tcPr>
          <w:p>
            <w:r>
              <w:rPr>
                <w:rFonts w:ascii="Aptos" w:hAnsi="Aptos" w:eastAsia="Aptos"/>
                <w:color w:val="16211F"/>
                <w:sz w:val="17"/>
              </w:rPr>
              <w:t>adet / bölge / atık</w:t>
            </w:r>
          </w:p>
        </w:tc>
      </w:tr>
      <w:tr>
        <w:tc>
          <w:tcPr>
            <w:tcW w:type="dxa" w:w="2350"/>
            <w:tcMar>
              <w:top w:w="90" w:type="dxa"/>
              <w:start w:w="120" w:type="dxa"/>
              <w:bottom w:w="90" w:type="dxa"/>
              <w:end w:w="120" w:type="dxa"/>
            </w:tcMar>
          </w:tcPr>
          <w:p>
            <w:r>
              <w:rPr>
                <w:rFonts w:ascii="Aptos" w:hAnsi="Aptos" w:eastAsia="Aptos"/>
                <w:color w:val="16211F"/>
                <w:sz w:val="17"/>
              </w:rPr>
              <w:t>Yabancı ot kontrolü</w:t>
            </w:r>
          </w:p>
        </w:tc>
        <w:tc>
          <w:tcPr>
            <w:tcW w:type="dxa" w:w="1500"/>
            <w:tcMar>
              <w:top w:w="90" w:type="dxa"/>
              <w:start w:w="120" w:type="dxa"/>
              <w:bottom w:w="90" w:type="dxa"/>
              <w:end w:w="120" w:type="dxa"/>
            </w:tcMar>
          </w:tcPr>
          <w:p>
            <w:r>
              <w:rPr>
                <w:rFonts w:ascii="Aptos" w:hAnsi="Aptos" w:eastAsia="Aptos"/>
                <w:color w:val="16211F"/>
                <w:sz w:val="17"/>
              </w:rPr>
              <w:t>[●]</w:t>
            </w:r>
          </w:p>
        </w:tc>
        <w:tc>
          <w:tcPr>
            <w:tcW w:type="dxa" w:w="3510"/>
            <w:tcMar>
              <w:top w:w="90" w:type="dxa"/>
              <w:start w:w="120" w:type="dxa"/>
              <w:bottom w:w="90" w:type="dxa"/>
              <w:end w:w="120" w:type="dxa"/>
            </w:tcMar>
          </w:tcPr>
          <w:p>
            <w:r>
              <w:rPr>
                <w:rFonts w:ascii="Aptos" w:hAnsi="Aptos" w:eastAsia="Aptos"/>
                <w:color w:val="16211F"/>
                <w:sz w:val="17"/>
              </w:rPr>
              <w:t>Mekanik/manuel yöntem; kimyasal ancak yazılı onayla</w:t>
            </w:r>
          </w:p>
        </w:tc>
        <w:tc>
          <w:tcPr>
            <w:tcW w:type="dxa" w:w="2000"/>
            <w:tcMar>
              <w:top w:w="90" w:type="dxa"/>
              <w:start w:w="120" w:type="dxa"/>
              <w:bottom w:w="90" w:type="dxa"/>
              <w:end w:w="120" w:type="dxa"/>
            </w:tcMar>
          </w:tcPr>
          <w:p>
            <w:r>
              <w:rPr>
                <w:rFonts w:ascii="Aptos" w:hAnsi="Aptos" w:eastAsia="Aptos"/>
                <w:color w:val="16211F"/>
                <w:sz w:val="17"/>
              </w:rPr>
              <w:t>m² / yöntem</w:t>
            </w:r>
          </w:p>
        </w:tc>
      </w:tr>
      <w:tr>
        <w:tc>
          <w:tcPr>
            <w:tcW w:type="dxa" w:w="2350"/>
            <w:shd w:fill="F8FAF7"/>
            <w:tcMar>
              <w:top w:w="90" w:type="dxa"/>
              <w:start w:w="120" w:type="dxa"/>
              <w:bottom w:w="90" w:type="dxa"/>
              <w:end w:w="120" w:type="dxa"/>
            </w:tcMar>
          </w:tcPr>
          <w:p>
            <w:r>
              <w:rPr>
                <w:rFonts w:ascii="Aptos" w:hAnsi="Aptos" w:eastAsia="Aptos"/>
                <w:color w:val="16211F"/>
                <w:sz w:val="17"/>
              </w:rPr>
              <w:t>Sulama kontrolü</w:t>
            </w:r>
          </w:p>
        </w:tc>
        <w:tc>
          <w:tcPr>
            <w:tcW w:type="dxa" w:w="1500"/>
            <w:shd w:fill="F8FAF7"/>
            <w:tcMar>
              <w:top w:w="90" w:type="dxa"/>
              <w:start w:w="120" w:type="dxa"/>
              <w:bottom w:w="90" w:type="dxa"/>
              <w:end w:w="120" w:type="dxa"/>
            </w:tcMar>
          </w:tcPr>
          <w:p>
            <w:r>
              <w:rPr>
                <w:rFonts w:ascii="Aptos" w:hAnsi="Aptos" w:eastAsia="Aptos"/>
                <w:color w:val="16211F"/>
                <w:sz w:val="17"/>
              </w:rPr>
              <w:t>[●]</w:t>
            </w:r>
          </w:p>
        </w:tc>
        <w:tc>
          <w:tcPr>
            <w:tcW w:type="dxa" w:w="3510"/>
            <w:shd w:fill="F8FAF7"/>
            <w:tcMar>
              <w:top w:w="90" w:type="dxa"/>
              <w:start w:w="120" w:type="dxa"/>
              <w:bottom w:w="90" w:type="dxa"/>
              <w:end w:w="120" w:type="dxa"/>
            </w:tcMar>
          </w:tcPr>
          <w:p>
            <w:r>
              <w:rPr>
                <w:rFonts w:ascii="Aptos" w:hAnsi="Aptos" w:eastAsia="Aptos"/>
                <w:color w:val="16211F"/>
                <w:sz w:val="17"/>
              </w:rPr>
              <w:t>Görsel kontrol ve program ayarı</w:t>
            </w:r>
          </w:p>
        </w:tc>
        <w:tc>
          <w:tcPr>
            <w:tcW w:type="dxa" w:w="2000"/>
            <w:shd w:fill="F8FAF7"/>
            <w:tcMar>
              <w:top w:w="90" w:type="dxa"/>
              <w:start w:w="120" w:type="dxa"/>
              <w:bottom w:w="90" w:type="dxa"/>
              <w:end w:w="120" w:type="dxa"/>
            </w:tcMar>
          </w:tcPr>
          <w:p>
            <w:r>
              <w:rPr>
                <w:rFonts w:ascii="Aptos" w:hAnsi="Aptos" w:eastAsia="Aptos"/>
                <w:color w:val="16211F"/>
                <w:sz w:val="17"/>
              </w:rPr>
              <w:t>arıza/ayar raporu</w:t>
            </w:r>
          </w:p>
        </w:tc>
      </w:tr>
      <w:tr>
        <w:tc>
          <w:tcPr>
            <w:tcW w:type="dxa" w:w="2350"/>
            <w:tcMar>
              <w:top w:w="90" w:type="dxa"/>
              <w:start w:w="120" w:type="dxa"/>
              <w:bottom w:w="90" w:type="dxa"/>
              <w:end w:w="120" w:type="dxa"/>
            </w:tcMar>
          </w:tcPr>
          <w:p>
            <w:r>
              <w:rPr>
                <w:rFonts w:ascii="Aptos" w:hAnsi="Aptos" w:eastAsia="Aptos"/>
                <w:color w:val="16211F"/>
                <w:sz w:val="17"/>
              </w:rPr>
              <w:t>Gübreleme/toprak iyileştirme</w:t>
            </w:r>
          </w:p>
        </w:tc>
        <w:tc>
          <w:tcPr>
            <w:tcW w:type="dxa" w:w="1500"/>
            <w:tcMar>
              <w:top w:w="90" w:type="dxa"/>
              <w:start w:w="120" w:type="dxa"/>
              <w:bottom w:w="90" w:type="dxa"/>
              <w:end w:w="120" w:type="dxa"/>
            </w:tcMar>
          </w:tcPr>
          <w:p>
            <w:r>
              <w:rPr>
                <w:rFonts w:ascii="Aptos" w:hAnsi="Aptos" w:eastAsia="Aptos"/>
                <w:color w:val="16211F"/>
                <w:sz w:val="17"/>
              </w:rPr>
              <w:t>[●]</w:t>
            </w:r>
          </w:p>
        </w:tc>
        <w:tc>
          <w:tcPr>
            <w:tcW w:type="dxa" w:w="3510"/>
            <w:tcMar>
              <w:top w:w="90" w:type="dxa"/>
              <w:start w:w="120" w:type="dxa"/>
              <w:bottom w:w="90" w:type="dxa"/>
              <w:end w:w="120" w:type="dxa"/>
            </w:tcMar>
          </w:tcPr>
          <w:p>
            <w:r>
              <w:rPr>
                <w:rFonts w:ascii="Aptos" w:hAnsi="Aptos" w:eastAsia="Aptos"/>
                <w:color w:val="16211F"/>
                <w:sz w:val="17"/>
              </w:rPr>
              <w:t>Yazılı reçete ve onaylı ürün</w:t>
            </w:r>
          </w:p>
        </w:tc>
        <w:tc>
          <w:tcPr>
            <w:tcW w:type="dxa" w:w="2000"/>
            <w:tcMar>
              <w:top w:w="90" w:type="dxa"/>
              <w:start w:w="120" w:type="dxa"/>
              <w:bottom w:w="90" w:type="dxa"/>
              <w:end w:w="120" w:type="dxa"/>
            </w:tcMar>
          </w:tcPr>
          <w:p>
            <w:r>
              <w:rPr>
                <w:rFonts w:ascii="Aptos" w:hAnsi="Aptos" w:eastAsia="Aptos"/>
                <w:color w:val="16211F"/>
                <w:sz w:val="17"/>
              </w:rPr>
              <w:t>ürün/doz/alan</w:t>
            </w:r>
          </w:p>
        </w:tc>
      </w:tr>
      <w:tr>
        <w:tc>
          <w:tcPr>
            <w:tcW w:type="dxa" w:w="2350"/>
            <w:shd w:fill="F8FAF7"/>
            <w:tcMar>
              <w:top w:w="90" w:type="dxa"/>
              <w:start w:w="120" w:type="dxa"/>
              <w:bottom w:w="90" w:type="dxa"/>
              <w:end w:w="120" w:type="dxa"/>
            </w:tcMar>
          </w:tcPr>
          <w:p>
            <w:r>
              <w:rPr>
                <w:rFonts w:ascii="Aptos" w:hAnsi="Aptos" w:eastAsia="Aptos"/>
                <w:color w:val="16211F"/>
                <w:sz w:val="17"/>
              </w:rPr>
              <w:t>Zararlı-hastalık gözlemi</w:t>
            </w:r>
          </w:p>
        </w:tc>
        <w:tc>
          <w:tcPr>
            <w:tcW w:type="dxa" w:w="1500"/>
            <w:shd w:fill="F8FAF7"/>
            <w:tcMar>
              <w:top w:w="90" w:type="dxa"/>
              <w:start w:w="120" w:type="dxa"/>
              <w:bottom w:w="90" w:type="dxa"/>
              <w:end w:w="120" w:type="dxa"/>
            </w:tcMar>
          </w:tcPr>
          <w:p>
            <w:r>
              <w:rPr>
                <w:rFonts w:ascii="Aptos" w:hAnsi="Aptos" w:eastAsia="Aptos"/>
                <w:color w:val="16211F"/>
                <w:sz w:val="17"/>
              </w:rPr>
              <w:t>[●]</w:t>
            </w:r>
          </w:p>
        </w:tc>
        <w:tc>
          <w:tcPr>
            <w:tcW w:type="dxa" w:w="3510"/>
            <w:shd w:fill="F8FAF7"/>
            <w:tcMar>
              <w:top w:w="90" w:type="dxa"/>
              <w:start w:w="120" w:type="dxa"/>
              <w:bottom w:w="90" w:type="dxa"/>
              <w:end w:w="120" w:type="dxa"/>
            </w:tcMar>
          </w:tcPr>
          <w:p>
            <w:r>
              <w:rPr>
                <w:rFonts w:ascii="Aptos" w:hAnsi="Aptos" w:eastAsia="Aptos"/>
                <w:color w:val="16211F"/>
                <w:sz w:val="17"/>
              </w:rPr>
              <w:t>Tespit ve öneri; ruhsata tabi uygulama ayrı</w:t>
            </w:r>
          </w:p>
        </w:tc>
        <w:tc>
          <w:tcPr>
            <w:tcW w:type="dxa" w:w="2000"/>
            <w:shd w:fill="F8FAF7"/>
            <w:tcMar>
              <w:top w:w="90" w:type="dxa"/>
              <w:start w:w="120" w:type="dxa"/>
              <w:bottom w:w="90" w:type="dxa"/>
              <w:end w:w="120" w:type="dxa"/>
            </w:tcMar>
          </w:tcPr>
          <w:p>
            <w:r>
              <w:rPr>
                <w:rFonts w:ascii="Aptos" w:hAnsi="Aptos" w:eastAsia="Aptos"/>
                <w:color w:val="16211F"/>
                <w:sz w:val="17"/>
              </w:rPr>
              <w:t>bulgu/öneri</w:t>
            </w:r>
          </w:p>
        </w:tc>
      </w:tr>
      <w:tr>
        <w:tc>
          <w:tcPr>
            <w:tcW w:type="dxa" w:w="2350"/>
            <w:tcMar>
              <w:top w:w="90" w:type="dxa"/>
              <w:start w:w="120" w:type="dxa"/>
              <w:bottom w:w="90" w:type="dxa"/>
              <w:end w:w="120" w:type="dxa"/>
            </w:tcMar>
          </w:tcPr>
          <w:p>
            <w:r>
              <w:rPr>
                <w:rFonts w:ascii="Aptos" w:hAnsi="Aptos" w:eastAsia="Aptos"/>
                <w:color w:val="16211F"/>
                <w:sz w:val="17"/>
              </w:rPr>
              <w:t>Mevsimlik yenileme</w:t>
            </w:r>
          </w:p>
        </w:tc>
        <w:tc>
          <w:tcPr>
            <w:tcW w:type="dxa" w:w="1500"/>
            <w:tcMar>
              <w:top w:w="90" w:type="dxa"/>
              <w:start w:w="120" w:type="dxa"/>
              <w:bottom w:w="90" w:type="dxa"/>
              <w:end w:w="120" w:type="dxa"/>
            </w:tcMar>
          </w:tcPr>
          <w:p>
            <w:r>
              <w:rPr>
                <w:rFonts w:ascii="Aptos" w:hAnsi="Aptos" w:eastAsia="Aptos"/>
                <w:color w:val="16211F"/>
                <w:sz w:val="17"/>
              </w:rPr>
              <w:t>[dahil/değil]</w:t>
            </w:r>
          </w:p>
        </w:tc>
        <w:tc>
          <w:tcPr>
            <w:tcW w:type="dxa" w:w="3510"/>
            <w:tcMar>
              <w:top w:w="90" w:type="dxa"/>
              <w:start w:w="120" w:type="dxa"/>
              <w:bottom w:w="90" w:type="dxa"/>
              <w:end w:w="120" w:type="dxa"/>
            </w:tcMar>
          </w:tcPr>
          <w:p>
            <w:r>
              <w:rPr>
                <w:rFonts w:ascii="Aptos" w:hAnsi="Aptos" w:eastAsia="Aptos"/>
                <w:color w:val="16211F"/>
                <w:sz w:val="17"/>
              </w:rPr>
              <w:t>Tür, adet ve tedarik onayı Ek-3</w:t>
            </w:r>
          </w:p>
        </w:tc>
        <w:tc>
          <w:tcPr>
            <w:tcW w:type="dxa" w:w="2000"/>
            <w:tcMar>
              <w:top w:w="90" w:type="dxa"/>
              <w:start w:w="120" w:type="dxa"/>
              <w:bottom w:w="90" w:type="dxa"/>
              <w:end w:w="120" w:type="dxa"/>
            </w:tcMar>
          </w:tcPr>
          <w:p>
            <w:r>
              <w:rPr>
                <w:rFonts w:ascii="Aptos" w:hAnsi="Aptos" w:eastAsia="Aptos"/>
                <w:color w:val="16211F"/>
                <w:sz w:val="17"/>
              </w:rPr>
              <w:t>adet / parti</w:t>
            </w:r>
          </w:p>
        </w:tc>
      </w:tr>
    </w:tbl>
    <w:p>
      <w:pPr>
        <w:pStyle w:val="Heading1"/>
      </w:pPr>
      <w:r>
        <w:t>3. Kapsam dışı işler ve değişiklik emri</w:t>
      </w:r>
    </w:p>
    <w:p>
      <w:pPr/>
      <w:r>
        <w:t>Ağaç sökme/taşıma, yüksek riskli budama, bitki koruma ürünü uygulaması, kapsamlı sulama onarımı, toprak nakli, altyapı kazısı, afet/hasar müdahalesi ve Ek-2'de bulunmayan işler kapsam dışıdır. Kapsam dışı iş; tanım, miktar, bedel, süre ve sorumluluk etkisi yazılı onaylanmadan başlatılmaz.</w:t>
      </w:r>
    </w:p>
    <w:p>
      <w:pPr>
        <w:pStyle w:val="Heading1"/>
      </w:pPr>
      <w:r>
        <w:t>4. Personel, ekipman, iş güvenliği ve çevre</w:t>
      </w:r>
    </w:p>
    <w:p>
      <w:pPr/>
      <w:r>
        <w:t>Yüklenici kendi personelinin ücret, SGK, eğitim, kişisel koruyucu donanım ve gözetiminden mevzuat ölçüsünde sorumludur. İş sahibinin sahadaki koordinasyon ve iş sağlığı-güvenliği yükümlülükleri sözleşmeyle tamamen devredilemez. Risk değerlendirmesi, acil durum, çalışma izinleri ve saha kuralları Ek-4'te koordine edilir.</w:t>
      </w:r>
    </w:p>
    <w:p>
      <w:pPr/>
      <w:r>
        <w:t>Kimyasal ürünler yalnızca yasal izin, etiket, güvenlik bilgi formu ve yetkin uygulayıcı koşulları sağlanarak kullanılır. Atıklar işin ve yerel düzenlemenin gereğine uygun ayrıştırılır; yeşil atık taşıma/bertaraf bedeli [dahil/değil].</w:t>
      </w:r>
    </w:p>
    <w:p>
      <w:pPr>
        <w:pStyle w:val="Heading1"/>
      </w:pPr>
      <w:r>
        <w:t>5. İş sahibinin yükümlülükleri</w:t>
      </w:r>
    </w:p>
    <w:p>
      <w:pPr>
        <w:numPr>
          <w:ilvl w:val="0"/>
          <w:numId w:val="1"/>
        </w:numPr>
      </w:pPr>
      <w:r>
        <w:rPr>
          <w:rFonts w:ascii="Aptos" w:hAnsi="Aptos" w:eastAsia="Aptos"/>
          <w:color w:val="16211F"/>
          <w:sz w:val="22"/>
        </w:rPr>
        <w:t>Sahaya güvenli erişim, çalışma saatleri ve güvenlik prosedürlerini yazılı bildirir.</w:t>
      </w:r>
    </w:p>
    <w:p>
      <w:pPr>
        <w:numPr>
          <w:ilvl w:val="0"/>
          <w:numId w:val="1"/>
        </w:numPr>
      </w:pPr>
      <w:r>
        <w:rPr>
          <w:rFonts w:ascii="Aptos" w:hAnsi="Aptos" w:eastAsia="Aptos"/>
          <w:color w:val="16211F"/>
          <w:sz w:val="22"/>
        </w:rPr>
        <w:t>Uygun su ve elektrik erişimini [ücretsiz/bedelli] sağlar; sayaç ve tüketim sorumluluğu Ek-5'tedir.</w:t>
      </w:r>
    </w:p>
    <w:p>
      <w:pPr>
        <w:numPr>
          <w:ilvl w:val="0"/>
          <w:numId w:val="1"/>
        </w:numPr>
      </w:pPr>
      <w:r>
        <w:rPr>
          <w:rFonts w:ascii="Aptos" w:hAnsi="Aptos" w:eastAsia="Aptos"/>
          <w:color w:val="16211F"/>
          <w:sz w:val="22"/>
        </w:rPr>
        <w:t>Sulama altyapısı, drenaj, mevcut gizli hatlar ve bitki geçmişine ilişkin bildiği verileri paylaşır.</w:t>
      </w:r>
    </w:p>
    <w:p>
      <w:pPr>
        <w:numPr>
          <w:ilvl w:val="0"/>
          <w:numId w:val="1"/>
        </w:numPr>
      </w:pPr>
      <w:r>
        <w:rPr>
          <w:rFonts w:ascii="Aptos" w:hAnsi="Aptos" w:eastAsia="Aptos"/>
          <w:color w:val="16211F"/>
          <w:sz w:val="22"/>
        </w:rPr>
        <w:t>Onay gerektiren teklif ve raporlara [3] iş günü içinde yanıt verir; gecikmenin programa etkisi kayda alınır.</w:t>
      </w:r>
    </w:p>
    <w:p>
      <w:pPr>
        <w:pStyle w:val="Heading1"/>
      </w:pPr>
      <w:r>
        <w:t>6. Bedel, fiyat farkı ve ödeme</w:t>
      </w:r>
    </w:p>
    <w:p>
      <w:pPr/>
      <w:r>
        <w:t>Aylık hizmet bedeli KDV hariç [●] TL'dir. KDV ve varsa yasal tevkifat ayrıca gösterilir. Malzeme/bitki, makine, taşıma ve bertaraf kalemlerinin dahil/dahil değil durumu Ek-3 fiyat çizelgesinde belirtilir. Fatura dönemi [●], ödeme vadesi [●] gündür.</w:t>
      </w:r>
    </w:p>
    <w:p>
      <w:pPr/>
      <w:r>
        <w:t>Sözleşme [12] ayı aşarsa ücret revizyon yöntemi ve tarihi açıkça belirlenir: [TÜFE/Yİ-ÜFE/işçilik endeksi/sabit formül] [●]. Tek taraflı ve belirsiz artış kaydı kullanılmaz. Vadesinde ödenmeyen bedellerde tarafın sıfatına göre kanuni/ticari temerrüt faizi ve emredici hükümler uygulanır.</w:t>
      </w:r>
    </w:p>
    <w:p>
      <w:pPr>
        <w:pStyle w:val="Heading1"/>
      </w:pPr>
      <w:r>
        <w:t>7. Hizmet kaydı, kontrol ve ayıp bildirimi</w:t>
      </w:r>
    </w:p>
    <w:p>
      <w:pPr/>
      <w:r>
        <w:t>Her ziyaret için tarih, personel, yapılan işler, kullanılan ürün, tespit edilen risk ve fotoğrafları içeren servis formu düzenlenir. İş sahibi itirazını formun iletiminden itibaren [3] iş günü içinde gerekçesiyle bildirir; gizli veya sonradan fark edilen ayıplara ilişkin kanuni haklar saklıdır.</w:t>
      </w:r>
    </w:p>
    <w:p>
      <w:pPr/>
      <w:r>
        <w:t>Eksik/uygunsuz hizmet için makul giderim süresi [2] iş günüdür; canlı materyal ve mevsim koşulları nedeniyle farklı süre gerekiyorsa yazılı plan sunulur. Bedelden kesinti ancak objektif ölçüm ve sözleşme/kanun dayanağıyla yapılır.</w:t>
      </w:r>
    </w:p>
    <w:p>
      <w:pPr>
        <w:pStyle w:val="Heading1"/>
      </w:pPr>
      <w:r>
        <w:t>8. Bitki garantisi ve sorumluluk sınırları</w:t>
      </w:r>
    </w:p>
    <w:p>
      <w:pPr/>
      <w:r>
        <w:t>Bakım öncesi envanter ve başlangıç sağlık durumu Ek-1'de fotoğraflanır. Garanti kapsamı [●] ay olup yalnızca yüklenicinin tedarik ettiği ve bakımını kesintisiz yürüttüğü, uygun sulama/toprak koşulu sağlanan bitkiler için geçerlidir. Kuraklık, don, aşırı yağış, vandalizm, hayvan zararı, üçüncü kişi müdahalesi, altyapı arızası veya iş sahibinin talimata aykırı davranışı nedensellik ölçüsünde değerlendirilir.</w:t>
      </w:r>
    </w:p>
    <w:p>
      <w:pPr/>
      <w:r>
        <w:t>Sorumluluğu kanuna aykırı şekilde tamamen kaldıran kayıt kullanılmaz. Kasıt, ağır kusur, bedensel zarar, tüketici hakları ve emredici sorumluluklar hiçbir genel sınırlandırmadan etkilenmez.</w:t>
      </w:r>
    </w:p>
    <w:p>
      <w:pPr>
        <w:pStyle w:val="Heading1"/>
      </w:pPr>
      <w:r>
        <w:t>Kişisel veriler ve gizlilik</w:t>
      </w:r>
    </w:p>
    <w:p>
      <w:pPr/>
      <w:r>
        <w:t>Taraflar, sözleşmenin kurulması ve ifası için gerekli kişisel verileri 6698 sayılı Kanun ve ilgili ikincil düzenlemelere uygun olarak, belirli ve meşru amaçlarla, ölçülü biçimde işler. Her taraf kendi veri sorumlusu yükümlülüklerinden sorumludur. Personel listesi, kamera kaydı, konum veya iletişim bilgilerinin paylaşımı gerekiyorsa veri kategorileri, amaç, saklama süresi, alıcı grupları ve güvenlik tedbirleri Ek-[●] içinde gösterilir.</w:t>
      </w:r>
    </w:p>
    <w:p>
      <w:pPr/>
      <w:r>
        <w:t>Taraflar ticari sırları ve proje bilgilerini yalnızca sözleşmenin ifası amacıyla kullanır. Kanuni bildirim yükümlülükleri ile yetkili makam talepleri saklıdır. Gizlilik süresi: [●] yıl / kanuni süre boyunca.</w:t>
      </w:r>
    </w:p>
    <w:p>
      <w:pPr>
        <w:pStyle w:val="Heading1"/>
      </w:pPr>
      <w:r>
        <w:t>Mücbir sebep ve öngörülemeyen hâller</w:t>
      </w:r>
    </w:p>
    <w:p>
      <w:pPr/>
      <w:r>
        <w:t>Tarafın makul kontrolü dışında gelişen, sözleşme tarihinde öngörülemeyen ve edimin ifasını geçici veya kalıcı olarak engelleyen olaylar, etkisi ölçüsünde değerlendirilir. Etkilenen taraf [3] iş günü içinde olayı, beklenen süreyi ve azaltma tedbirlerini belgeleriyle bildirir. Salt fiyat artışı veya finansman güçlüğü kendiliğinden mücbir sebep sayılmaz; Türk Borçlar Kanunu'nun aşırı ifa güçlüğüne ilişkin emredici değerlendirmesi saklıdır.</w:t>
      </w:r>
    </w:p>
    <w:p>
      <w:pPr/>
      <w:r>
        <w:t>Kesinti [30] günü aşarsa taraflar süre/bedel uyarlamasını görüşür; anlaşma olmazsa kanuni haklar saklı kalmak üzere sözleşme yazılı bildirimle sona erdirilebilir. Tamamlanmış ve kullanılabilir işlerin bedeli ile makul söküm/koruma giderleri hesaplanır.</w:t>
      </w:r>
    </w:p>
    <w:p>
      <w:pPr>
        <w:pStyle w:val="Heading1"/>
      </w:pPr>
      <w:r>
        <w:t>Fesih, temerrüt ve sonuçları</w:t>
      </w:r>
    </w:p>
    <w:p>
      <w:pPr/>
      <w:r>
        <w:t>Esaslı ihlalde, ihlalin niteliği gereği derhâl fesih hakkı saklı olmak üzere, karşı tarafa ihlali gidermesi için [7/14] günlük yazılı süre verilir. Sürede giderilmeyen ihlal hâlinde sözleşme ileriye etkili feshedilebilir veya kanunun izin verdiği diğer haklar kullanılabilir.</w:t>
      </w:r>
    </w:p>
    <w:p>
      <w:pPr/>
      <w:r>
        <w:t>Fesihte işin mevcut seviyesi ortak tutanakla belirlenir; teslim edilebilir dokümanlar, malzemeler, anahtarlar ve veriler iade edilir. Hak edilmiş bedel, kabul edilebilir iş, kusur giderim maliyeti ve kanunen istenebilecek zararlar ayrı kalemler hâlinde hesaplanır. Tüketicinin ve emredici hükümlerin sağladığı haklar sınırlandırılamaz.</w:t>
      </w:r>
    </w:p>
    <w:p>
      <w:pPr>
        <w:pStyle w:val="Heading1"/>
      </w:pPr>
      <w:r>
        <w:t>Uyuşmazlık ve uygulanacak hukuk</w:t>
      </w:r>
    </w:p>
    <w:p>
      <w:pPr/>
      <w:r>
        <w:t>Sözleşmeye Türk hukuku uygulanır. Müşteri tüketici ise görevli ve yetkili merci, 6502 sayılı Kanun ile ilgili yıllık parasal sınırlar uyarınca tüketici hakem heyeti veya tüketici mahkemesidir; emredici yetki kuralları saklıdır. Dava şartı arabuluculuk gereken uyuşmazlıklarda dava öncesi başvuru yapılır.</w:t>
      </w:r>
    </w:p>
    <w:p>
      <w:pPr/>
      <w:r>
        <w:t>Her iki tarafın tacir olduğu ticari işlerde, dava şartı arabuluculuk hükümleri saklı kalmak üzere [●] Mahkemeleri ve İcra Daireleri yetkilidir. Bu yetki kaydı tacir olmayan taraf bakımından emredici yetki kurallarını bertaraf etmez.</w:t>
      </w:r>
    </w:p>
    <w:p>
      <w:pPr/>
      <w:r>
        <w:t>Kamu işi, yabancılık unsuru, tahkim veya birden fazla taşınmaz söz konusuysa bu madde mutlaka ayrıca hukukçu tarafından uyarlanmalıdır.</w:t>
      </w:r>
    </w:p>
    <w:p>
      <w:pPr>
        <w:pStyle w:val="Heading1"/>
      </w:pPr>
      <w:r>
        <w:t>Bütünlük, değişiklik ve nüshalar</w:t>
      </w:r>
    </w:p>
    <w:p>
      <w:pPr/>
      <w:r>
        <w:t>Sözleşme ve ekleri tarafların anlaşmasının bütününü oluşturur. Değişiklikler yetkili temsilcilerce yazılı onaylanır. Operasyonel e-postalar yalnızca sözleşmede yetkilendirilmiş kişilerin ve belirlenmiş limitlerin içinde değişiklik emri sayılır. Herhangi bir hükmün geçersizliği kalan hükümlerin geçerliliğini etkilemez; geçersiz hüküm, amaca en yakın geçerli düzenlemeyle değiştirilir.</w:t>
      </w:r>
    </w:p>
    <w:p>
      <w:pPr/>
      <w:r>
        <w:t>Sözleşme [●] nüsha olarak / güvenli elektronik imzayla imzalanmıştır. Damga vergisi ve diğer mali yükümlülükler için mali müşavir kontrolü yapılır; yükümlülüğün taraflar arasındaki paylaşımı kamuya karşı yasal sorumluluğu ortadan kaldırmaz.</w:t>
      </w:r>
    </w:p>
    <w:p>
      <w:pPr>
        <w:pStyle w:val="Heading1"/>
      </w:pPr>
      <w:r>
        <w:t>Önerilen ekler</w:t>
      </w:r>
    </w:p>
    <w:p>
      <w:pPr>
        <w:numPr>
          <w:ilvl w:val="0"/>
          <w:numId w:val="1"/>
        </w:numPr>
      </w:pPr>
      <w:r>
        <w:rPr>
          <w:rFonts w:ascii="Aptos" w:hAnsi="Aptos" w:eastAsia="Aptos"/>
          <w:color w:val="16211F"/>
          <w:sz w:val="22"/>
        </w:rPr>
        <w:t>Ek-1 Saha sınırı, başlangıç envanteri ve fotoğraflar</w:t>
      </w:r>
    </w:p>
    <w:p>
      <w:pPr>
        <w:numPr>
          <w:ilvl w:val="0"/>
          <w:numId w:val="1"/>
        </w:numPr>
      </w:pPr>
      <w:r>
        <w:rPr>
          <w:rFonts w:ascii="Aptos" w:hAnsi="Aptos" w:eastAsia="Aptos"/>
          <w:color w:val="16211F"/>
          <w:sz w:val="22"/>
        </w:rPr>
        <w:t>Ek-2 Yıllık/aylık bakım programı</w:t>
      </w:r>
    </w:p>
    <w:p>
      <w:pPr>
        <w:numPr>
          <w:ilvl w:val="0"/>
          <w:numId w:val="1"/>
        </w:numPr>
      </w:pPr>
      <w:r>
        <w:rPr>
          <w:rFonts w:ascii="Aptos" w:hAnsi="Aptos" w:eastAsia="Aptos"/>
          <w:color w:val="16211F"/>
          <w:sz w:val="22"/>
        </w:rPr>
        <w:t>Ek-3 Dahil işler, malzeme listesi ve fiyat çizelgesi</w:t>
      </w:r>
    </w:p>
    <w:p>
      <w:pPr>
        <w:numPr>
          <w:ilvl w:val="0"/>
          <w:numId w:val="1"/>
        </w:numPr>
      </w:pPr>
      <w:r>
        <w:rPr>
          <w:rFonts w:ascii="Aptos" w:hAnsi="Aptos" w:eastAsia="Aptos"/>
          <w:color w:val="16211F"/>
          <w:sz w:val="22"/>
        </w:rPr>
        <w:t>Ek-4 İSG koordinasyon ve saha kuralları</w:t>
      </w:r>
    </w:p>
    <w:p>
      <w:pPr>
        <w:numPr>
          <w:ilvl w:val="0"/>
          <w:numId w:val="1"/>
        </w:numPr>
      </w:pPr>
      <w:r>
        <w:rPr>
          <w:rFonts w:ascii="Aptos" w:hAnsi="Aptos" w:eastAsia="Aptos"/>
          <w:color w:val="16211F"/>
          <w:sz w:val="22"/>
        </w:rPr>
        <w:t>Ek-5 Su/elektrik/sulama altyapısı sorumluluk matrisi</w:t>
      </w:r>
    </w:p>
    <w:p>
      <w:pPr>
        <w:numPr>
          <w:ilvl w:val="0"/>
          <w:numId w:val="1"/>
        </w:numPr>
      </w:pPr>
      <w:r>
        <w:rPr>
          <w:rFonts w:ascii="Aptos" w:hAnsi="Aptos" w:eastAsia="Aptos"/>
          <w:color w:val="16211F"/>
          <w:sz w:val="22"/>
        </w:rPr>
        <w:t>Ek-6 Servis formu ve performans göstergeleri</w:t>
      </w:r>
    </w:p>
    <w:p>
      <w:pPr>
        <w:numPr>
          <w:ilvl w:val="0"/>
          <w:numId w:val="1"/>
        </w:numPr>
      </w:pPr>
      <w:r>
        <w:rPr>
          <w:rFonts w:ascii="Aptos" w:hAnsi="Aptos" w:eastAsia="Aptos"/>
          <w:color w:val="16211F"/>
          <w:sz w:val="22"/>
        </w:rPr>
        <w:t>Ek-7 KVKK rol ve veri paylaşım tablosu</w:t>
      </w:r>
    </w:p>
    <w:p>
      <w:pPr>
        <w:pStyle w:val="Heading1"/>
      </w:pPr>
      <w:r>
        <w:t>İmza ve ek kontrolü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Ek-1 [●] • Ek-2 [●] • Ek-3 [●] • Ek-4 [●] • Ek-5 [●]</w:t>
            </w:r>
          </w:p>
        </w:tc>
      </w:tr>
    </w:tbl>
    <w:p>
      <w:pPr>
        <w:pStyle w:val="Heading1"/>
      </w:pPr>
      <w:r>
        <w:t>Hukuki dayanak ve güncellik notu</w:t>
      </w:r>
    </w:p>
    <w:p>
      <w:r>
        <w:t>Bu şablon hazırlanırken aşağıdaki resmî kaynaklar esas alınmıştır. Erişim tarihi: 20 Ağustos 2026. Mevzuat ve parasal sınırlar değişebileceğinden imza tarihinde yeniden kontrol edilmelidir.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2F4F0"/>
        <w:pBdr>
          <w:left w:val="single" w:sz="18" w:space="8" w:color="96A984"/>
        </w:pBdr>
      </w:pPr>
      <w:r>
        <w:rPr>
          <w:rFonts w:ascii="Aptos" w:hAnsi="Aptos" w:eastAsia="Aptos"/>
          <w:b/>
          <w:color w:val="4D6765"/>
          <w:sz w:val="18"/>
        </w:rPr>
        <w:t>PEYSED KULLANIM ILKESI</w:t>
      </w:r>
    </w:p>
    <w:p>
      <w:pPr>
        <w:spacing w:before="0" w:after="160"/>
        <w:shd w:fill="F2F4F0"/>
        <w:pBdr>
          <w:left w:val="single" w:sz="18" w:space="8" w:color="96A984"/>
        </w:pBdr>
      </w:pPr>
      <w:r>
        <w:rPr>
          <w:rFonts w:ascii="Aptos" w:hAnsi="Aptos" w:eastAsia="Aptos"/>
          <w:color w:val="16211F"/>
          <w:sz w:val="20"/>
        </w:rPr>
        <w:t>Şablon ücretsiz bir sektör kılavuzudur. PEYSED taraf değildir; somut sözleşmenin hazırlanması, müzakere edilmesi ve uygulanmasından kullanıcılar sorumludur. Şablonun varlığı, proje ve keşif hizmetlerinin ücretsiz olduğu anlamına gelmez; kapsam ve ücret ayrı ve açık biçimde kararlaştırılmalıdır.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Peyzaj Bakım Hizmetleri Sözleşmesi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