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PEYSED-SÖZ-02</w:t>
      </w:r>
    </w:p>
    <w:p>
      <w:pPr>
        <w:spacing w:after="160"/>
      </w:pPr>
      <w:r>
        <w:rPr>
          <w:rFonts w:ascii="Aptos Display" w:hAnsi="Aptos Display" w:eastAsia="Aptos Display"/>
          <w:b/>
          <w:color w:val="16211F"/>
          <w:sz w:val="50"/>
        </w:rPr>
        <w:t>Peyzaj Projelendirme ve Danışmanlık Sözleşmesi</w:t>
      </w:r>
    </w:p>
    <w:p>
      <w:pPr>
        <w:spacing w:after="360"/>
      </w:pPr>
      <w:r>
        <w:rPr>
          <w:rFonts w:ascii="Aptos" w:hAnsi="Aptos" w:eastAsia="Aptos"/>
          <w:color w:val="4D6765"/>
          <w:sz w:val="25"/>
        </w:rPr>
        <w:t>Keşif, tasarım, uygulama projesi ve danışmanlık hizmetlerinin ücretini, teslimini ve fikrî haklarını tanımlayan örnek sözleşme.</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mimarlığı ofisleri, tasarım firmaları, yatırımcılar, kurumlar ve bireysel müşteriler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Taraf ve işlem sınıflandırması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Unvan/ad soyad: [●]</w:t>
              <w:br/>
              <w:t>MERSİS/VKN/TCKN: [●]</w:t>
              <w:br/>
              <w:t>Adres/KEP/e-posta: [●]</w:t>
              <w:br/>
              <w:t>Yetkili: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Unvan: [●]</w:t>
              <w:br/>
              <w:t>MERSİS/VKN: [●]</w:t>
              <w:br/>
              <w:t>Adres/KEP/e-posta: [●]</w:t>
              <w:br/>
              <w:t>Yetkili: [●]</w:t>
              <w:br/>
              <w:t>Mesleki yetki/oda bilgisi (varsa):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w:t>
            </w:r>
          </w:p>
        </w:tc>
        <w:tc>
          <w:tcPr>
            <w:tcW w:type="dxa" w:w="6660"/>
            <w:vAlign w:val="center"/>
            <w:tcMar>
              <w:top w:w="90" w:type="dxa"/>
              <w:start w:w="120" w:type="dxa"/>
              <w:bottom w:w="90" w:type="dxa"/>
              <w:end w:w="120" w:type="dxa"/>
            </w:tcMar>
          </w:tcPr>
          <w:p>
            <w:r>
              <w:rPr>
                <w:rFonts w:ascii="Aptos" w:hAnsi="Aptos" w:eastAsia="Aptos"/>
                <w:color w:val="16211F"/>
                <w:sz w:val="19"/>
              </w:rPr>
              <w:t>Açık adres, ada/parsel, saha sorumlusu ve erişim kuralları: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 sıfatı</w:t>
            </w:r>
          </w:p>
        </w:tc>
        <w:tc>
          <w:tcPr>
            <w:tcW w:type="dxa" w:w="6660"/>
            <w:vAlign w:val="center"/>
            <w:tcMar>
              <w:top w:w="90" w:type="dxa"/>
              <w:start w:w="120" w:type="dxa"/>
              <w:bottom w:w="90" w:type="dxa"/>
              <w:end w:w="120" w:type="dxa"/>
            </w:tcMar>
          </w:tcPr>
          <w:p>
            <w:r>
              <w:rPr>
                <w:rFonts w:ascii="Aptos" w:hAnsi="Aptos" w:eastAsia="Aptos"/>
                <w:color w:val="16211F"/>
                <w:sz w:val="19"/>
              </w:rPr>
              <w:t>[●] Her iki taraf tacir  [●] Müşteri tüketici  [●] Kamu kurumu  [●] Site/apartman yönetimi  [●] Diğer: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Tebligat ve operasyon kanalı</w:t>
            </w:r>
          </w:p>
        </w:tc>
        <w:tc>
          <w:tcPr>
            <w:tcW w:type="dxa" w:w="6660"/>
            <w:vAlign w:val="center"/>
            <w:tcMar>
              <w:top w:w="90" w:type="dxa"/>
              <w:start w:w="120" w:type="dxa"/>
              <w:bottom w:w="90" w:type="dxa"/>
              <w:end w:w="120" w:type="dxa"/>
            </w:tcMar>
          </w:tcPr>
          <w:p>
            <w:r>
              <w:rPr>
                <w:rFonts w:ascii="Aptos" w:hAnsi="Aptos" w:eastAsia="Aptos"/>
                <w:color w:val="16211F"/>
                <w:sz w:val="19"/>
              </w:rPr>
              <w:t>Hukuki bildirim: [KEP/noter/iadeli taahhütlü/elden] [●]</w:t>
              <w:br/>
              <w:t>Günlük operasyon: [e-posta/yazılım] [●]</w:t>
              <w:br/>
              <w:t>Yetkili kişiler: [●]</w:t>
            </w:r>
          </w:p>
        </w:tc>
      </w:tr>
    </w:tbl>
    <w:p>
      <w:pPr>
        <w:pStyle w:val="Heading1"/>
      </w:pPr>
      <w:r>
        <w:t>1. Konu ve hizmet aşamaları</w:t>
      </w:r>
    </w:p>
    <w:p>
      <w:pPr/>
      <w:r>
        <w:t>Tasarımcı, [proje adı] için aşağıda seçilen aşamalarda peyzaj projelendirme ve/veya danışmanlık hizmeti sunar. Keşif ve projelendirme ayrı uzmanlık hizmetidir; uygulama alımı veya sonraki uygulama sözleşmesine bağlanamaz ve bedeli Ek-2'de ayrıca gösterilir.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450"/>
        <w:gridCol w:w="4210"/>
        <w:gridCol w:w="1800"/>
        <w:gridCol w:w="1900"/>
      </w:tblGrid>
      <w:tr>
        <w:trPr>
          <w:tblHeader w:val="true"/>
        </w:trPr>
        <w:tc>
          <w:tcPr>
            <w:tcW w:type="dxa" w:w="1450"/>
            <w:shd w:fill="4D6765"/>
            <w:tcMar>
              <w:top w:w="90" w:type="dxa"/>
              <w:start w:w="120" w:type="dxa"/>
              <w:bottom w:w="90" w:type="dxa"/>
              <w:end w:w="120" w:type="dxa"/>
            </w:tcMar>
          </w:tcPr>
          <w:p>
            <w:r>
              <w:rPr>
                <w:rFonts w:ascii="Aptos" w:hAnsi="Aptos" w:eastAsia="Aptos"/>
                <w:b/>
                <w:color w:val="FFFFFF"/>
                <w:sz w:val="17"/>
              </w:rPr>
              <w:t>Aşama</w:t>
            </w:r>
          </w:p>
        </w:tc>
        <w:tc>
          <w:tcPr>
            <w:tcW w:type="dxa" w:w="4210"/>
            <w:shd w:fill="4D6765"/>
            <w:tcMar>
              <w:top w:w="90" w:type="dxa"/>
              <w:start w:w="120" w:type="dxa"/>
              <w:bottom w:w="90" w:type="dxa"/>
              <w:end w:w="120" w:type="dxa"/>
            </w:tcMar>
          </w:tcPr>
          <w:p>
            <w:r>
              <w:rPr>
                <w:rFonts w:ascii="Aptos" w:hAnsi="Aptos" w:eastAsia="Aptos"/>
                <w:b/>
                <w:color w:val="FFFFFF"/>
                <w:sz w:val="17"/>
              </w:rPr>
              <w:t>Teslim içeriği</w:t>
            </w:r>
          </w:p>
        </w:tc>
        <w:tc>
          <w:tcPr>
            <w:tcW w:type="dxa" w:w="1800"/>
            <w:shd w:fill="4D6765"/>
            <w:tcMar>
              <w:top w:w="90" w:type="dxa"/>
              <w:start w:w="120" w:type="dxa"/>
              <w:bottom w:w="90" w:type="dxa"/>
              <w:end w:w="120" w:type="dxa"/>
            </w:tcMar>
          </w:tcPr>
          <w:p>
            <w:r>
              <w:rPr>
                <w:rFonts w:ascii="Aptos" w:hAnsi="Aptos" w:eastAsia="Aptos"/>
                <w:b/>
                <w:color w:val="FFFFFF"/>
                <w:sz w:val="17"/>
              </w:rPr>
              <w:t>Format</w:t>
            </w:r>
          </w:p>
        </w:tc>
        <w:tc>
          <w:tcPr>
            <w:tcW w:type="dxa" w:w="1900"/>
            <w:shd w:fill="4D6765"/>
            <w:tcMar>
              <w:top w:w="90" w:type="dxa"/>
              <w:start w:w="120" w:type="dxa"/>
              <w:bottom w:w="90" w:type="dxa"/>
              <w:end w:w="120" w:type="dxa"/>
            </w:tcMar>
          </w:tcPr>
          <w:p>
            <w:r>
              <w:rPr>
                <w:rFonts w:ascii="Aptos" w:hAnsi="Aptos" w:eastAsia="Aptos"/>
                <w:b/>
                <w:color w:val="FFFFFF"/>
                <w:sz w:val="17"/>
              </w:rPr>
              <w:t>Revizyon</w:t>
            </w:r>
          </w:p>
        </w:tc>
      </w:tr>
      <w:tr>
        <w:tc>
          <w:tcPr>
            <w:tcW w:type="dxa" w:w="1450"/>
            <w:tcMar>
              <w:top w:w="90" w:type="dxa"/>
              <w:start w:w="120" w:type="dxa"/>
              <w:bottom w:w="90" w:type="dxa"/>
              <w:end w:w="120" w:type="dxa"/>
            </w:tcMar>
          </w:tcPr>
          <w:p>
            <w:r>
              <w:rPr>
                <w:rFonts w:ascii="Aptos" w:hAnsi="Aptos" w:eastAsia="Aptos"/>
                <w:color w:val="16211F"/>
                <w:sz w:val="17"/>
              </w:rPr>
              <w:t>Veri toplama / keşif</w:t>
            </w:r>
          </w:p>
        </w:tc>
        <w:tc>
          <w:tcPr>
            <w:tcW w:type="dxa" w:w="4210"/>
            <w:tcMar>
              <w:top w:w="90" w:type="dxa"/>
              <w:start w:w="120" w:type="dxa"/>
              <w:bottom w:w="90" w:type="dxa"/>
              <w:end w:w="120" w:type="dxa"/>
            </w:tcMar>
          </w:tcPr>
          <w:p>
            <w:r>
              <w:rPr>
                <w:rFonts w:ascii="Aptos" w:hAnsi="Aptos" w:eastAsia="Aptos"/>
                <w:color w:val="16211F"/>
                <w:sz w:val="17"/>
              </w:rPr>
              <w:t>Yer görme, ihtiyaç programı, veri eksikliği ve risk notu</w:t>
            </w:r>
          </w:p>
        </w:tc>
        <w:tc>
          <w:tcPr>
            <w:tcW w:type="dxa" w:w="1800"/>
            <w:tcMar>
              <w:top w:w="90" w:type="dxa"/>
              <w:start w:w="120" w:type="dxa"/>
              <w:bottom w:w="90" w:type="dxa"/>
              <w:end w:w="120" w:type="dxa"/>
            </w:tcMar>
          </w:tcPr>
          <w:p>
            <w:r>
              <w:rPr>
                <w:rFonts w:ascii="Aptos" w:hAnsi="Aptos" w:eastAsia="Aptos"/>
                <w:color w:val="16211F"/>
                <w:sz w:val="17"/>
              </w:rPr>
              <w:t>PDF + fotoğraf</w:t>
            </w:r>
          </w:p>
        </w:tc>
        <w:tc>
          <w:tcPr>
            <w:tcW w:type="dxa" w:w="1900"/>
            <w:tcMar>
              <w:top w:w="90" w:type="dxa"/>
              <w:start w:w="120" w:type="dxa"/>
              <w:bottom w:w="90" w:type="dxa"/>
              <w:end w:w="120" w:type="dxa"/>
            </w:tcMar>
          </w:tcPr>
          <w:p>
            <w:r>
              <w:rPr>
                <w:rFonts w:ascii="Aptos" w:hAnsi="Aptos" w:eastAsia="Aptos"/>
                <w:color w:val="16211F"/>
                <w:sz w:val="17"/>
              </w:rPr>
              <w:t>1 toplantı</w:t>
            </w:r>
          </w:p>
        </w:tc>
      </w:tr>
      <w:tr>
        <w:tc>
          <w:tcPr>
            <w:tcW w:type="dxa" w:w="1450"/>
            <w:shd w:fill="F8FAF7"/>
            <w:tcMar>
              <w:top w:w="90" w:type="dxa"/>
              <w:start w:w="120" w:type="dxa"/>
              <w:bottom w:w="90" w:type="dxa"/>
              <w:end w:w="120" w:type="dxa"/>
            </w:tcMar>
          </w:tcPr>
          <w:p>
            <w:r>
              <w:rPr>
                <w:rFonts w:ascii="Aptos" w:hAnsi="Aptos" w:eastAsia="Aptos"/>
                <w:color w:val="16211F"/>
                <w:sz w:val="17"/>
              </w:rPr>
              <w:t>Konsept</w:t>
            </w:r>
          </w:p>
        </w:tc>
        <w:tc>
          <w:tcPr>
            <w:tcW w:type="dxa" w:w="4210"/>
            <w:shd w:fill="F8FAF7"/>
            <w:tcMar>
              <w:top w:w="90" w:type="dxa"/>
              <w:start w:w="120" w:type="dxa"/>
              <w:bottom w:w="90" w:type="dxa"/>
              <w:end w:w="120" w:type="dxa"/>
            </w:tcMar>
          </w:tcPr>
          <w:p>
            <w:r>
              <w:rPr>
                <w:rFonts w:ascii="Aptos" w:hAnsi="Aptos" w:eastAsia="Aptos"/>
                <w:color w:val="16211F"/>
                <w:sz w:val="17"/>
              </w:rPr>
              <w:t>Tasarım yaklaşımı, alan kullanımı, ön bitki/malzeme paleti</w:t>
            </w:r>
          </w:p>
        </w:tc>
        <w:tc>
          <w:tcPr>
            <w:tcW w:type="dxa" w:w="1800"/>
            <w:shd w:fill="F8FAF7"/>
            <w:tcMar>
              <w:top w:w="90" w:type="dxa"/>
              <w:start w:w="120" w:type="dxa"/>
              <w:bottom w:w="90" w:type="dxa"/>
              <w:end w:w="120" w:type="dxa"/>
            </w:tcMar>
          </w:tcPr>
          <w:p>
            <w:r>
              <w:rPr>
                <w:rFonts w:ascii="Aptos" w:hAnsi="Aptos" w:eastAsia="Aptos"/>
                <w:color w:val="16211F"/>
                <w:sz w:val="17"/>
              </w:rPr>
              <w:t>PDF</w:t>
            </w:r>
          </w:p>
        </w:tc>
        <w:tc>
          <w:tcPr>
            <w:tcW w:type="dxa" w:w="1900"/>
            <w:shd w:fill="F8FAF7"/>
            <w:tcMar>
              <w:top w:w="90" w:type="dxa"/>
              <w:start w:w="120" w:type="dxa"/>
              <w:bottom w:w="90" w:type="dxa"/>
              <w:end w:w="120" w:type="dxa"/>
            </w:tcMar>
          </w:tcPr>
          <w:p>
            <w:r>
              <w:rPr>
                <w:rFonts w:ascii="Aptos" w:hAnsi="Aptos" w:eastAsia="Aptos"/>
                <w:color w:val="16211F"/>
                <w:sz w:val="17"/>
              </w:rPr>
              <w:t>[2] tur</w:t>
            </w:r>
          </w:p>
        </w:tc>
      </w:tr>
      <w:tr>
        <w:tc>
          <w:tcPr>
            <w:tcW w:type="dxa" w:w="1450"/>
            <w:tcMar>
              <w:top w:w="90" w:type="dxa"/>
              <w:start w:w="120" w:type="dxa"/>
              <w:bottom w:w="90" w:type="dxa"/>
              <w:end w:w="120" w:type="dxa"/>
            </w:tcMar>
          </w:tcPr>
          <w:p>
            <w:r>
              <w:rPr>
                <w:rFonts w:ascii="Aptos" w:hAnsi="Aptos" w:eastAsia="Aptos"/>
                <w:color w:val="16211F"/>
                <w:sz w:val="17"/>
              </w:rPr>
              <w:t>Avan proje</w:t>
            </w:r>
          </w:p>
        </w:tc>
        <w:tc>
          <w:tcPr>
            <w:tcW w:type="dxa" w:w="4210"/>
            <w:tcMar>
              <w:top w:w="90" w:type="dxa"/>
              <w:start w:w="120" w:type="dxa"/>
              <w:bottom w:w="90" w:type="dxa"/>
              <w:end w:w="120" w:type="dxa"/>
            </w:tcMar>
          </w:tcPr>
          <w:p>
            <w:r>
              <w:rPr>
                <w:rFonts w:ascii="Aptos" w:hAnsi="Aptos" w:eastAsia="Aptos"/>
                <w:color w:val="16211F"/>
                <w:sz w:val="17"/>
              </w:rPr>
              <w:t>Plan, kesit, ana kot, dolaşım, prensip detayları</w:t>
            </w:r>
          </w:p>
        </w:tc>
        <w:tc>
          <w:tcPr>
            <w:tcW w:type="dxa" w:w="1800"/>
            <w:tcMar>
              <w:top w:w="90" w:type="dxa"/>
              <w:start w:w="120" w:type="dxa"/>
              <w:bottom w:w="90" w:type="dxa"/>
              <w:end w:w="120" w:type="dxa"/>
            </w:tcMar>
          </w:tcPr>
          <w:p>
            <w:r>
              <w:rPr>
                <w:rFonts w:ascii="Aptos" w:hAnsi="Aptos" w:eastAsia="Aptos"/>
                <w:color w:val="16211F"/>
                <w:sz w:val="17"/>
              </w:rPr>
              <w:t>PDF/DWG [●]</w:t>
            </w:r>
          </w:p>
        </w:tc>
        <w:tc>
          <w:tcPr>
            <w:tcW w:type="dxa" w:w="1900"/>
            <w:tcMar>
              <w:top w:w="90" w:type="dxa"/>
              <w:start w:w="120" w:type="dxa"/>
              <w:bottom w:w="90" w:type="dxa"/>
              <w:end w:w="120" w:type="dxa"/>
            </w:tcMar>
          </w:tcPr>
          <w:p>
            <w:r>
              <w:rPr>
                <w:rFonts w:ascii="Aptos" w:hAnsi="Aptos" w:eastAsia="Aptos"/>
                <w:color w:val="16211F"/>
                <w:sz w:val="17"/>
              </w:rPr>
              <w:t>[2] tur</w:t>
            </w:r>
          </w:p>
        </w:tc>
      </w:tr>
      <w:tr>
        <w:tc>
          <w:tcPr>
            <w:tcW w:type="dxa" w:w="1450"/>
            <w:shd w:fill="F8FAF7"/>
            <w:tcMar>
              <w:top w:w="90" w:type="dxa"/>
              <w:start w:w="120" w:type="dxa"/>
              <w:bottom w:w="90" w:type="dxa"/>
              <w:end w:w="120" w:type="dxa"/>
            </w:tcMar>
          </w:tcPr>
          <w:p>
            <w:r>
              <w:rPr>
                <w:rFonts w:ascii="Aptos" w:hAnsi="Aptos" w:eastAsia="Aptos"/>
                <w:color w:val="16211F"/>
                <w:sz w:val="17"/>
              </w:rPr>
              <w:t>Uygulama projesi</w:t>
            </w:r>
          </w:p>
        </w:tc>
        <w:tc>
          <w:tcPr>
            <w:tcW w:type="dxa" w:w="4210"/>
            <w:shd w:fill="F8FAF7"/>
            <w:tcMar>
              <w:top w:w="90" w:type="dxa"/>
              <w:start w:w="120" w:type="dxa"/>
              <w:bottom w:w="90" w:type="dxa"/>
              <w:end w:w="120" w:type="dxa"/>
            </w:tcMar>
          </w:tcPr>
          <w:p>
            <w:r>
              <w:rPr>
                <w:rFonts w:ascii="Aptos" w:hAnsi="Aptos" w:eastAsia="Aptos"/>
                <w:color w:val="16211F"/>
                <w:sz w:val="17"/>
              </w:rPr>
              <w:t>Ölçü/kot, bitkilendirme, detay, mahal listesi</w:t>
            </w:r>
          </w:p>
        </w:tc>
        <w:tc>
          <w:tcPr>
            <w:tcW w:type="dxa" w:w="1800"/>
            <w:shd w:fill="F8FAF7"/>
            <w:tcMar>
              <w:top w:w="90" w:type="dxa"/>
              <w:start w:w="120" w:type="dxa"/>
              <w:bottom w:w="90" w:type="dxa"/>
              <w:end w:w="120" w:type="dxa"/>
            </w:tcMar>
          </w:tcPr>
          <w:p>
            <w:r>
              <w:rPr>
                <w:rFonts w:ascii="Aptos" w:hAnsi="Aptos" w:eastAsia="Aptos"/>
                <w:color w:val="16211F"/>
                <w:sz w:val="17"/>
              </w:rPr>
              <w:t>PDF + [kaynak dosya]</w:t>
            </w:r>
          </w:p>
        </w:tc>
        <w:tc>
          <w:tcPr>
            <w:tcW w:type="dxa" w:w="1900"/>
            <w:shd w:fill="F8FAF7"/>
            <w:tcMar>
              <w:top w:w="90" w:type="dxa"/>
              <w:start w:w="120" w:type="dxa"/>
              <w:bottom w:w="90" w:type="dxa"/>
              <w:end w:w="120" w:type="dxa"/>
            </w:tcMar>
          </w:tcPr>
          <w:p>
            <w:r>
              <w:rPr>
                <w:rFonts w:ascii="Aptos" w:hAnsi="Aptos" w:eastAsia="Aptos"/>
                <w:color w:val="16211F"/>
                <w:sz w:val="17"/>
              </w:rPr>
              <w:t>[1] tur</w:t>
            </w:r>
          </w:p>
        </w:tc>
      </w:tr>
      <w:tr>
        <w:tc>
          <w:tcPr>
            <w:tcW w:type="dxa" w:w="1450"/>
            <w:tcMar>
              <w:top w:w="90" w:type="dxa"/>
              <w:start w:w="120" w:type="dxa"/>
              <w:bottom w:w="90" w:type="dxa"/>
              <w:end w:w="120" w:type="dxa"/>
            </w:tcMar>
          </w:tcPr>
          <w:p>
            <w:r>
              <w:rPr>
                <w:rFonts w:ascii="Aptos" w:hAnsi="Aptos" w:eastAsia="Aptos"/>
                <w:color w:val="16211F"/>
                <w:sz w:val="17"/>
              </w:rPr>
              <w:t>Keşif-metraj</w:t>
            </w:r>
          </w:p>
        </w:tc>
        <w:tc>
          <w:tcPr>
            <w:tcW w:type="dxa" w:w="4210"/>
            <w:tcMar>
              <w:top w:w="90" w:type="dxa"/>
              <w:start w:w="120" w:type="dxa"/>
              <w:bottom w:w="90" w:type="dxa"/>
              <w:end w:w="120" w:type="dxa"/>
            </w:tcMar>
          </w:tcPr>
          <w:p>
            <w:r>
              <w:rPr>
                <w:rFonts w:ascii="Aptos" w:hAnsi="Aptos" w:eastAsia="Aptos"/>
                <w:color w:val="16211F"/>
                <w:sz w:val="17"/>
              </w:rPr>
              <w:t>Miktar, poz ve teknik tanım; piyasa fiyatı ayrı hizmet</w:t>
            </w:r>
          </w:p>
        </w:tc>
        <w:tc>
          <w:tcPr>
            <w:tcW w:type="dxa" w:w="1800"/>
            <w:tcMar>
              <w:top w:w="90" w:type="dxa"/>
              <w:start w:w="120" w:type="dxa"/>
              <w:bottom w:w="90" w:type="dxa"/>
              <w:end w:w="120" w:type="dxa"/>
            </w:tcMar>
          </w:tcPr>
          <w:p>
            <w:r>
              <w:rPr>
                <w:rFonts w:ascii="Aptos" w:hAnsi="Aptos" w:eastAsia="Aptos"/>
                <w:color w:val="16211F"/>
                <w:sz w:val="17"/>
              </w:rPr>
              <w:t>XLSX/PDF</w:t>
            </w:r>
          </w:p>
        </w:tc>
        <w:tc>
          <w:tcPr>
            <w:tcW w:type="dxa" w:w="1900"/>
            <w:tcMar>
              <w:top w:w="90" w:type="dxa"/>
              <w:start w:w="120" w:type="dxa"/>
              <w:bottom w:w="90" w:type="dxa"/>
              <w:end w:w="120" w:type="dxa"/>
            </w:tcMar>
          </w:tcPr>
          <w:p>
            <w:r>
              <w:rPr>
                <w:rFonts w:ascii="Aptos" w:hAnsi="Aptos" w:eastAsia="Aptos"/>
                <w:color w:val="16211F"/>
                <w:sz w:val="17"/>
              </w:rPr>
              <w:t>[1] tur</w:t>
            </w:r>
          </w:p>
        </w:tc>
      </w:tr>
      <w:tr>
        <w:tc>
          <w:tcPr>
            <w:tcW w:type="dxa" w:w="1450"/>
            <w:shd w:fill="F8FAF7"/>
            <w:tcMar>
              <w:top w:w="90" w:type="dxa"/>
              <w:start w:w="120" w:type="dxa"/>
              <w:bottom w:w="90" w:type="dxa"/>
              <w:end w:w="120" w:type="dxa"/>
            </w:tcMar>
          </w:tcPr>
          <w:p>
            <w:r>
              <w:rPr>
                <w:rFonts w:ascii="Aptos" w:hAnsi="Aptos" w:eastAsia="Aptos"/>
                <w:color w:val="16211F"/>
                <w:sz w:val="17"/>
              </w:rPr>
              <w:t>İhale/uygulama danışmanlığı</w:t>
            </w:r>
          </w:p>
        </w:tc>
        <w:tc>
          <w:tcPr>
            <w:tcW w:type="dxa" w:w="4210"/>
            <w:shd w:fill="F8FAF7"/>
            <w:tcMar>
              <w:top w:w="90" w:type="dxa"/>
              <w:start w:w="120" w:type="dxa"/>
              <w:bottom w:w="90" w:type="dxa"/>
              <w:end w:w="120" w:type="dxa"/>
            </w:tcMar>
          </w:tcPr>
          <w:p>
            <w:r>
              <w:rPr>
                <w:rFonts w:ascii="Aptos" w:hAnsi="Aptos" w:eastAsia="Aptos"/>
                <w:color w:val="16211F"/>
                <w:sz w:val="17"/>
              </w:rPr>
              <w:t>Soru yanıtı, numune/imalat değerlendirmesi, saha ziyareti</w:t>
            </w:r>
          </w:p>
        </w:tc>
        <w:tc>
          <w:tcPr>
            <w:tcW w:type="dxa" w:w="1800"/>
            <w:shd w:fill="F8FAF7"/>
            <w:tcMar>
              <w:top w:w="90" w:type="dxa"/>
              <w:start w:w="120" w:type="dxa"/>
              <w:bottom w:w="90" w:type="dxa"/>
              <w:end w:w="120" w:type="dxa"/>
            </w:tcMar>
          </w:tcPr>
          <w:p>
            <w:r>
              <w:rPr>
                <w:rFonts w:ascii="Aptos" w:hAnsi="Aptos" w:eastAsia="Aptos"/>
                <w:color w:val="16211F"/>
                <w:sz w:val="17"/>
              </w:rPr>
              <w:t>Rapor</w:t>
            </w:r>
          </w:p>
        </w:tc>
        <w:tc>
          <w:tcPr>
            <w:tcW w:type="dxa" w:w="1900"/>
            <w:shd w:fill="F8FAF7"/>
            <w:tcMar>
              <w:top w:w="90" w:type="dxa"/>
              <w:start w:w="120" w:type="dxa"/>
              <w:bottom w:w="90" w:type="dxa"/>
              <w:end w:w="120" w:type="dxa"/>
            </w:tcMar>
          </w:tcPr>
          <w:p>
            <w:r>
              <w:rPr>
                <w:rFonts w:ascii="Aptos" w:hAnsi="Aptos" w:eastAsia="Aptos"/>
                <w:color w:val="16211F"/>
                <w:sz w:val="17"/>
              </w:rPr>
              <w:t>[●] ziyaret</w:t>
            </w:r>
          </w:p>
        </w:tc>
      </w:tr>
    </w:tbl>
    <w:p>
      <w:pPr>
        <w:pStyle w:val="Heading1"/>
      </w:pPr>
      <w:r>
        <w:t>2. Tasarım girdileri ve iş sahibinin sorumluluğu</w:t>
      </w:r>
    </w:p>
    <w:p>
      <w:pPr>
        <w:numPr>
          <w:ilvl w:val="0"/>
          <w:numId w:val="1"/>
        </w:numPr>
      </w:pPr>
      <w:r>
        <w:rPr>
          <w:rFonts w:ascii="Aptos" w:hAnsi="Aptos" w:eastAsia="Aptos"/>
          <w:color w:val="16211F"/>
          <w:sz w:val="22"/>
        </w:rPr>
        <w:t>Güncel hâlihazır, aplikasyon/kot, altyapı, mimari/statik/elektrik/mekanik projeleri ve mülkiyet/imar kısıtlarını sağlar.</w:t>
      </w:r>
    </w:p>
    <w:p>
      <w:pPr>
        <w:numPr>
          <w:ilvl w:val="0"/>
          <w:numId w:val="1"/>
        </w:numPr>
      </w:pPr>
      <w:r>
        <w:rPr>
          <w:rFonts w:ascii="Aptos" w:hAnsi="Aptos" w:eastAsia="Aptos"/>
          <w:color w:val="16211F"/>
          <w:sz w:val="22"/>
        </w:rPr>
        <w:t>Su kaynağı, debi/basınç/su kalitesi, toprak analizi, iklim, mevcut bitki ve korunacak unsurları bildirir.</w:t>
      </w:r>
    </w:p>
    <w:p>
      <w:pPr>
        <w:numPr>
          <w:ilvl w:val="0"/>
          <w:numId w:val="1"/>
        </w:numPr>
      </w:pPr>
      <w:r>
        <w:rPr>
          <w:rFonts w:ascii="Aptos" w:hAnsi="Aptos" w:eastAsia="Aptos"/>
          <w:color w:val="16211F"/>
          <w:sz w:val="22"/>
        </w:rPr>
        <w:t>İhtiyaç programı, bütçe hedefi, işletme/bakım kapasitesi ve erişilebilirlik beklentilerini yazılı onaylar.</w:t>
      </w:r>
    </w:p>
    <w:p>
      <w:pPr>
        <w:numPr>
          <w:ilvl w:val="0"/>
          <w:numId w:val="1"/>
        </w:numPr>
      </w:pPr>
      <w:r>
        <w:rPr>
          <w:rFonts w:ascii="Aptos" w:hAnsi="Aptos" w:eastAsia="Aptos"/>
          <w:color w:val="16211F"/>
          <w:sz w:val="22"/>
        </w:rPr>
        <w:t>Üçüncü disiplinlerin çakışma ve onay süreçlerini koordine eder; tasarımcı kendi kapsamındaki koordinasyon uyarılarını kaydeder.</w:t>
      </w:r>
    </w:p>
    <w:p>
      <w:pPr>
        <w:pStyle w:val="Heading1"/>
      </w:pPr>
      <w:r>
        <w:t>3. Takvim, onay ve askıya alma</w:t>
      </w:r>
    </w:p>
    <w:p>
      <w:pPr/>
      <w:r>
        <w:t>Başlangıç [●], toplam tasarım süresi [●] iş günüdür. İş sahibinin veri/onay gecikmesi, kapsam değişikliği ve üçüncü kurum onayı süreye eklenir. Aşama tesliminden sonra [5] iş günü içinde tek ve konsolide geri bildirim verilir; sessizlik, tüketici haklarını veya ayıp hükümlerini ortadan kaldıran kesin kabul sayılmaz, yalnızca takvim planlamasında onay gecikmesi olarak kaydedilir.</w:t>
      </w:r>
    </w:p>
    <w:p>
      <w:pPr/>
      <w:r>
        <w:t>İş sahibi kaynaklı askı [30] günü aşarsa tasarımcı yeniden başlatma programı ve maliyet etkisini sunabilir. Askı süresinde güncelliğini yitiren veri, fiyat ve standartların yeniden doğrulanması ek hizmettir.</w:t>
      </w:r>
    </w:p>
    <w:p>
      <w:pPr>
        <w:pStyle w:val="Heading1"/>
      </w:pPr>
      <w:r>
        <w:t>4. Revizyon ve kapsam değişikliği</w:t>
      </w:r>
    </w:p>
    <w:p>
      <w:pPr/>
      <w:r>
        <w:t>Revizyon, onaylı ihtiyaç programı ve tasarım yönü içinde yapılan düzeltmedir. İşlev, alan, kapasite, bütçe, mimari/altyapı girdisi veya onaylı tasarım yönünün değişmesi kapsam değişikliğidir. Kapsam değişikliği; talep, etkilenmiş teslimler, ek ücret ve süreyi içeren form imzalanmadan yürürlüğe girmez.</w:t>
      </w:r>
    </w:p>
    <w:p>
      <w:pPr>
        <w:pStyle w:val="Heading1"/>
      </w:pPr>
      <w:r>
        <w:t>5. Ücret ve ödeme planı</w:t>
      </w:r>
    </w:p>
    <w:p>
      <w:pPr/>
      <w:r>
        <w:t>Toplam hizmet bedeli KDV hariç [●] TL'dir. Ödeme planı: sözleşme/avans [%●], konsept [%●], avan [%●], uygulama projesi [%●], keşif/teslim [%●]. Saha ziyareti [●] TL/ziyaret; yol-konaklama [dahil/değil]. Üçüncü kişi laboratuvar, ölçüm, baskı, ruhsat/harç ve benzeri giderler [●].</w:t>
      </w:r>
    </w:p>
    <w:p>
      <w:pPr/>
      <w:r>
        <w:t>Kaynak dosya teslimi, baskı, görselleştirme, metraj fiyatlandırması, ihale desteği ve uygulama kontrollüğü dahil değilse açıkça işaretlenir. Bedelin vadesi ve teslim ilişkisi, hapis hakkı veya dosya erişimi gibi sonuçlar bakımından hukukçu tarafından kontrol edilir.</w:t>
      </w:r>
    </w:p>
    <w:p>
      <w:pPr>
        <w:pStyle w:val="Heading1"/>
      </w:pPr>
      <w:r>
        <w:t>6. Mesleki özen, izinler ve teknik sınırlar</w:t>
      </w:r>
    </w:p>
    <w:p>
      <w:pPr/>
      <w:r>
        <w:t>Tasarımcı, benzer işi üstlenen basiretli bir meslek mensubundan beklenen özeni gösterir; başarı, maliyet veya ruhsat garantisi vermez. Ruhsat/kurum onayı sorumluluğu [iş sahibi/tasarımcı] olup kapsamı Ek-3'tedir. Uygulayıcının projeden sapması, onaysız malzeme ikamesi veya saha koşulunun gizlenmesi nedeniyle doğan sonuçlar nedensellik ölçüsünde değerlendirilir.</w:t>
      </w:r>
    </w:p>
    <w:p>
      <w:pPr/>
      <w:r>
        <w:t>Keşif ve metraj mevcut proje verilerine dayanır; kesin imalat miktarı saha ve onaylı detaylara göre değişebilir. Tahmini bütçe fiyat teklifi değildir; fiyatların geçerlilik tarihi ve kaynakları ayrıca belirtilir.</w:t>
      </w:r>
    </w:p>
    <w:p>
      <w:pPr>
        <w:pStyle w:val="Heading1"/>
      </w:pPr>
      <w:r>
        <w:t>Kişisel veriler ve gizlilik</w:t>
      </w:r>
    </w:p>
    <w:p>
      <w:pPr/>
      <w:r>
        <w:t>Taraflar, sözleşmenin kurulması ve ifası için gerekli kişisel verileri 6698 sayılı Kanun ve ilgili ikincil düzenlemelere uygun olarak, belirli ve meşru amaçlarla, ölçülü biçimde işler. Her taraf kendi veri sorumlusu yükümlülüklerinden sorumludur. Personel listesi, kamera kaydı, konum veya iletişim bilgilerinin paylaşımı gerekiyorsa veri kategorileri, amaç, saklama süresi, alıcı grupları ve güvenlik tedbirleri Ek-[●] içinde gösterilir.</w:t>
      </w:r>
    </w:p>
    <w:p>
      <w:pPr/>
      <w:r>
        <w:t>Taraflar ticari sırları ve proje bilgilerini yalnızca sözleşmenin ifası amacıyla kullanır. Kanuni bildirim yükümlülükleri ile yetkili makam talepleri saklıdır. Gizlilik süresi: [●] yıl / kanuni süre boyunca.</w:t>
      </w:r>
    </w:p>
    <w:p>
      <w:pPr>
        <w:pStyle w:val="Heading1"/>
      </w:pPr>
      <w:r>
        <w:t>Fikrî haklar ve dosya kullanımı</w:t>
      </w:r>
    </w:p>
    <w:p>
      <w:pPr/>
      <w:r>
        <w:t>Özgün plan, proje, detay, görsel, hesap, rapor ve çizimlerin eser niteliği taşıdığı ölçüde mali ve manevi hakları 5846 sayılı Kanuna tabidir. Bedelin tamamının ödenmesiyle müşteriye aşağıdaki kapsamda kullanım izni verilir: proje yeri [●], amaç [●], süre [●], çoğaltma/uyarlama yetkisi [●]. Hak devri amaçlanıyorsa devredilen mali haklar ayrı ayrı, yazılı ve açık biçimde sayılmalıdır.</w:t>
      </w:r>
    </w:p>
    <w:p>
      <w:pPr/>
      <w:r>
        <w:t>Kaynak çalışma dosyaları, üçüncü kişi yazılımları/lisansları, kütüphaneler ve tasarımcının genel bilgi birikimi açıkça aksi kararlaştırılmadıkça devre dahil değildir. Eserde yapılacak değişiklikler teknik sorumluluk ve manevi haklar bakımından tasarımcıya bildirilir.</w:t>
      </w:r>
    </w:p>
    <w:p>
      <w:pPr>
        <w:pStyle w:val="Heading1"/>
      </w:pPr>
      <w:r>
        <w:t>Mücbir sebep ve öngörülemeyen hâller</w:t>
      </w:r>
    </w:p>
    <w:p>
      <w:pPr/>
      <w:r>
        <w:t>Tarafın makul kontrolü dışında gelişen, sözleşme tarihinde öngörülemeyen ve edimin ifasını geçici veya kalıcı olarak engelleyen olaylar, etkisi ölçüsünde değerlendirilir. Etkilenen taraf [3] iş günü içinde olayı, beklenen süreyi ve azaltma tedbirlerini belgeleriyle bildirir. Salt fiyat artışı veya finansman güçlüğü kendiliğinden mücbir sebep sayılmaz; Türk Borçlar Kanunu'nun aşırı ifa güçlüğüne ilişkin emredici değerlendirmesi saklıdır.</w:t>
      </w:r>
    </w:p>
    <w:p>
      <w:pPr/>
      <w:r>
        <w:t>Kesinti [30] günü aşarsa taraflar süre/bedel uyarlamasını görüşür; anlaşma olmazsa kanuni haklar saklı kalmak üzere sözleşme yazılı bildirimle sona erdirilebilir. Tamamlanmış ve kullanılabilir işlerin bedeli ile makul söküm/koruma giderleri hesaplanır.</w:t>
      </w:r>
    </w:p>
    <w:p>
      <w:pPr>
        <w:pStyle w:val="Heading1"/>
      </w:pPr>
      <w:r>
        <w:t>Fesih, temerrüt ve sonuçları</w:t>
      </w:r>
    </w:p>
    <w:p>
      <w:pPr/>
      <w:r>
        <w:t>Esaslı ihlalde, ihlalin niteliği gereği derhâl fesih hakkı saklı olmak üzere, karşı tarafa ihlali gidermesi için [7/14] günlük yazılı süre verilir. Sürede giderilmeyen ihlal hâlinde sözleşme ileriye etkili feshedilebilir veya kanunun izin verdiği diğer haklar kullanılabilir.</w:t>
      </w:r>
    </w:p>
    <w:p>
      <w:pPr/>
      <w:r>
        <w:t>Fesihte işin mevcut seviyesi ortak tutanakla belirlenir; teslim edilebilir dokümanlar, malzemeler, anahtarlar ve veriler iade edilir. Hak edilmiş bedel, kabul edilebilir iş, kusur giderim maliyeti ve kanunen istenebilecek zararlar ayrı kalemler hâlinde hesaplanır. Tüketicinin ve emredici hükümlerin sağladığı haklar sınırlandırılamaz.</w:t>
      </w:r>
    </w:p>
    <w:p>
      <w:pPr>
        <w:pStyle w:val="Heading1"/>
      </w:pPr>
      <w:r>
        <w:t>Uyuşmazlık ve uygulanacak hukuk</w:t>
      </w:r>
    </w:p>
    <w:p>
      <w:pPr/>
      <w:r>
        <w:t>Sözleşmeye Türk hukuku uygulanır. Müşteri tüketici ise görevli ve yetkili merci, 6502 sayılı Kanun ile ilgili yıllık parasal sınırlar uyarınca tüketici hakem heyeti veya tüketici mahkemesidir; emredici yetki kuralları saklıdır. Dava şartı arabuluculuk gereken uyuşmazlıklarda dava öncesi başvuru yapılır.</w:t>
      </w:r>
    </w:p>
    <w:p>
      <w:pPr/>
      <w:r>
        <w:t>Her iki tarafın tacir olduğu ticari işlerde, dava şartı arabuluculuk hükümleri saklı kalmak üzere [●] Mahkemeleri ve İcra Daireleri yetkilidir. Bu yetki kaydı tacir olmayan taraf bakımından emredici yetki kurallarını bertaraf etmez.</w:t>
      </w:r>
    </w:p>
    <w:p>
      <w:pPr/>
      <w:r>
        <w:t>Kamu işi, yabancılık unsuru, tahkim veya birden fazla taşınmaz söz konusuysa bu madde mutlaka ayrıca hukukçu tarafından uyarlanmalıdır.</w:t>
      </w:r>
    </w:p>
    <w:p>
      <w:pPr>
        <w:pStyle w:val="Heading1"/>
      </w:pPr>
      <w:r>
        <w:t>Bütünlük, değişiklik ve nüshalar</w:t>
      </w:r>
    </w:p>
    <w:p>
      <w:pPr/>
      <w:r>
        <w:t>Sözleşme ve ekleri tarafların anlaşmasının bütününü oluşturur. Değişiklikler yetkili temsilcilerce yazılı onaylanır. Operasyonel e-postalar yalnızca sözleşmede yetkilendirilmiş kişilerin ve belirlenmiş limitlerin içinde değişiklik emri sayılır. Herhangi bir hükmün geçersizliği kalan hükümlerin geçerliliğini etkilemez; geçersiz hüküm, amaca en yakın geçerli düzenlemeyle değiştirilir.</w:t>
      </w:r>
    </w:p>
    <w:p>
      <w:pPr/>
      <w:r>
        <w:t>Sözleşme [●] nüsha olarak / güvenli elektronik imzayla imzalanmıştır. Damga vergisi ve diğer mali yükümlülükler için mali müşavir kontrolü yapılır; yükümlülüğün taraflar arasındaki paylaşımı kamuya karşı yasal sorumluluğu ortadan kaldırmaz.</w:t>
      </w:r>
    </w:p>
    <w:p>
      <w:pPr>
        <w:pStyle w:val="Heading1"/>
      </w:pPr>
      <w:r>
        <w:t>Önerilen ekler</w:t>
      </w:r>
    </w:p>
    <w:p>
      <w:pPr>
        <w:numPr>
          <w:ilvl w:val="0"/>
          <w:numId w:val="1"/>
        </w:numPr>
      </w:pPr>
      <w:r>
        <w:rPr>
          <w:rFonts w:ascii="Aptos" w:hAnsi="Aptos" w:eastAsia="Aptos"/>
          <w:color w:val="16211F"/>
          <w:sz w:val="22"/>
        </w:rPr>
        <w:t>Ek-1 İhtiyaç programı ve saha/veri listesi</w:t>
      </w:r>
    </w:p>
    <w:p>
      <w:pPr>
        <w:numPr>
          <w:ilvl w:val="0"/>
          <w:numId w:val="1"/>
        </w:numPr>
      </w:pPr>
      <w:r>
        <w:rPr>
          <w:rFonts w:ascii="Aptos" w:hAnsi="Aptos" w:eastAsia="Aptos"/>
          <w:color w:val="16211F"/>
          <w:sz w:val="22"/>
        </w:rPr>
        <w:t>Ek-2 Hizmet aşaması, teslim matrisi, ücret ve ödeme planı</w:t>
      </w:r>
    </w:p>
    <w:p>
      <w:pPr>
        <w:numPr>
          <w:ilvl w:val="0"/>
          <w:numId w:val="1"/>
        </w:numPr>
      </w:pPr>
      <w:r>
        <w:rPr>
          <w:rFonts w:ascii="Aptos" w:hAnsi="Aptos" w:eastAsia="Aptos"/>
          <w:color w:val="16211F"/>
          <w:sz w:val="22"/>
        </w:rPr>
        <w:t>Ek-3 Kurum onayı ve disiplin koordinasyon matrisi</w:t>
      </w:r>
    </w:p>
    <w:p>
      <w:pPr>
        <w:numPr>
          <w:ilvl w:val="0"/>
          <w:numId w:val="1"/>
        </w:numPr>
      </w:pPr>
      <w:r>
        <w:rPr>
          <w:rFonts w:ascii="Aptos" w:hAnsi="Aptos" w:eastAsia="Aptos"/>
          <w:color w:val="16211F"/>
          <w:sz w:val="22"/>
        </w:rPr>
        <w:t>Ek-4 Tasarım takvimi</w:t>
      </w:r>
    </w:p>
    <w:p>
      <w:pPr>
        <w:numPr>
          <w:ilvl w:val="0"/>
          <w:numId w:val="1"/>
        </w:numPr>
      </w:pPr>
      <w:r>
        <w:rPr>
          <w:rFonts w:ascii="Aptos" w:hAnsi="Aptos" w:eastAsia="Aptos"/>
          <w:color w:val="16211F"/>
          <w:sz w:val="22"/>
        </w:rPr>
        <w:t>Ek-5 Revizyon/kapsam değişikliği formu</w:t>
      </w:r>
    </w:p>
    <w:p>
      <w:pPr>
        <w:numPr>
          <w:ilvl w:val="0"/>
          <w:numId w:val="1"/>
        </w:numPr>
      </w:pPr>
      <w:r>
        <w:rPr>
          <w:rFonts w:ascii="Aptos" w:hAnsi="Aptos" w:eastAsia="Aptos"/>
          <w:color w:val="16211F"/>
          <w:sz w:val="22"/>
        </w:rPr>
        <w:t>Ek-6 Fikrî haklar ve kullanım izni özeti</w:t>
      </w:r>
    </w:p>
    <w:p>
      <w:pPr>
        <w:numPr>
          <w:ilvl w:val="0"/>
          <w:numId w:val="1"/>
        </w:numPr>
      </w:pPr>
      <w:r>
        <w:rPr>
          <w:rFonts w:ascii="Aptos" w:hAnsi="Aptos" w:eastAsia="Aptos"/>
          <w:color w:val="16211F"/>
          <w:sz w:val="22"/>
        </w:rPr>
        <w:t>Ek-7 Teslim/kabul tutanağı</w:t>
      </w:r>
    </w:p>
    <w:p>
      <w:pPr>
        <w:pStyle w:val="Heading1"/>
      </w:pPr>
      <w:r>
        <w:t>İmza ve ek kontrolü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Ek-1 [●] • Ek-2 [●] • Ek-3 [●] • Ek-4 [●] • Ek-5 [●]</w:t>
            </w:r>
          </w:p>
        </w:tc>
      </w:tr>
    </w:tbl>
    <w:p>
      <w:pPr>
        <w:pStyle w:val="Heading1"/>
      </w:pPr>
      <w:r>
        <w:t>Hukuki dayanak ve güncellik notu</w:t>
      </w:r>
    </w:p>
    <w:p>
      <w:r>
        <w:t>Bu şablon hazırlanırken aşağıdaki resmî kaynaklar esas alınmıştır. Erişim tarihi: 20 Ağustos 2026. Mevzuat ve parasal sınırlar değişebileceğinden imza tarihinde yeniden kontrol edilmelidir.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2F4F0"/>
        <w:pBdr>
          <w:left w:val="single" w:sz="18" w:space="8" w:color="96A984"/>
        </w:pBdr>
      </w:pPr>
      <w:r>
        <w:rPr>
          <w:rFonts w:ascii="Aptos" w:hAnsi="Aptos" w:eastAsia="Aptos"/>
          <w:b/>
          <w:color w:val="4D6765"/>
          <w:sz w:val="18"/>
        </w:rPr>
        <w:t>PEYSED KULLANIM ILKESI</w:t>
      </w:r>
    </w:p>
    <w:p>
      <w:pPr>
        <w:spacing w:before="0" w:after="160"/>
        <w:shd w:fill="F2F4F0"/>
        <w:pBdr>
          <w:left w:val="single" w:sz="18" w:space="8" w:color="96A984"/>
        </w:pBdr>
      </w:pPr>
      <w:r>
        <w:rPr>
          <w:rFonts w:ascii="Aptos" w:hAnsi="Aptos" w:eastAsia="Aptos"/>
          <w:color w:val="16211F"/>
          <w:sz w:val="20"/>
        </w:rPr>
        <w:t>Şablon ücretsiz bir sektör kılavuzudur. PEYSED taraf değildir; somut sözleşmenin hazırlanması, müzakere edilmesi ve uygulanmasından kullanıcılar sorumludur. Şablonun varlığı, proje ve keşif hizmetlerinin ücretsiz olduğu anlamına gelmez; kapsam ve ücret ayrı ve açık biçimde kararlaştırılmalıdır.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Peyzaj Projelendirme ve Danışmanlık Sözleşmesi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