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PEYSED-SÖZ-03</w:t>
      </w:r>
    </w:p>
    <w:p>
      <w:pPr>
        <w:spacing w:after="160"/>
      </w:pPr>
      <w:r>
        <w:rPr>
          <w:rFonts w:ascii="Aptos Display" w:hAnsi="Aptos Display" w:eastAsia="Aptos Display"/>
          <w:b/>
          <w:color w:val="16211F"/>
          <w:sz w:val="50"/>
        </w:rPr>
        <w:t>Peyzaj Uygulama Sözleşmesi</w:t>
      </w:r>
    </w:p>
    <w:p>
      <w:pPr>
        <w:spacing w:after="360"/>
      </w:pPr>
      <w:r>
        <w:rPr>
          <w:rFonts w:ascii="Aptos" w:hAnsi="Aptos" w:eastAsia="Aptos"/>
          <w:color w:val="4D6765"/>
          <w:sz w:val="25"/>
        </w:rPr>
        <w:t>Canlı materyal, altyapı, hakediş, değişiklik, kabul ve ayıp sorumluluğunu birlikte yöneten örnek yapım sözleşmesi.</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Peyzaj uygulama firmaları, ana yükleniciler, yatırımcılar, site/tesis yönetimleri ve bireysel müşteriler</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Taraf ve işlem sınıflandırması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Unvan/ad soyad: [●]</w:t>
              <w:br/>
              <w:t>MERSİS/VKN/TCKN: [●]</w:t>
              <w:br/>
              <w:t>Adres/KEP/e-posta: [●]</w:t>
              <w:br/>
              <w:t>Yetkili: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Unvan: [●]</w:t>
              <w:br/>
              <w:t>MERSİS/VKN: [●]</w:t>
              <w:br/>
              <w:t>Adres/KEP/e-posta: [●]</w:t>
              <w:br/>
              <w:t>Yetkili: [●]</w:t>
              <w:br/>
              <w:t>Mesleki yetki/oda bilgisi (varsa):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İşin yeri</w:t>
            </w:r>
          </w:p>
        </w:tc>
        <w:tc>
          <w:tcPr>
            <w:tcW w:type="dxa" w:w="6660"/>
            <w:vAlign w:val="center"/>
            <w:tcMar>
              <w:top w:w="90" w:type="dxa"/>
              <w:start w:w="120" w:type="dxa"/>
              <w:bottom w:w="90" w:type="dxa"/>
              <w:end w:w="120" w:type="dxa"/>
            </w:tcMar>
          </w:tcPr>
          <w:p>
            <w:r>
              <w:rPr>
                <w:rFonts w:ascii="Aptos" w:hAnsi="Aptos" w:eastAsia="Aptos"/>
                <w:color w:val="16211F"/>
                <w:sz w:val="19"/>
              </w:rPr>
              <w:t>Açık adres, ada/parsel, saha sorumlusu ve erişim kuralları: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Taraf sıfatı</w:t>
            </w:r>
          </w:p>
        </w:tc>
        <w:tc>
          <w:tcPr>
            <w:tcW w:type="dxa" w:w="6660"/>
            <w:vAlign w:val="center"/>
            <w:tcMar>
              <w:top w:w="90" w:type="dxa"/>
              <w:start w:w="120" w:type="dxa"/>
              <w:bottom w:w="90" w:type="dxa"/>
              <w:end w:w="120" w:type="dxa"/>
            </w:tcMar>
          </w:tcPr>
          <w:p>
            <w:r>
              <w:rPr>
                <w:rFonts w:ascii="Aptos" w:hAnsi="Aptos" w:eastAsia="Aptos"/>
                <w:color w:val="16211F"/>
                <w:sz w:val="19"/>
              </w:rPr>
              <w:t>[●] Her iki taraf tacir  [●] Müşteri tüketici  [●] Kamu kurumu  [●] Site/apartman yönetimi  [●] Diğer: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Tebligat ve operasyon kanalı</w:t>
            </w:r>
          </w:p>
        </w:tc>
        <w:tc>
          <w:tcPr>
            <w:tcW w:type="dxa" w:w="6660"/>
            <w:vAlign w:val="center"/>
            <w:tcMar>
              <w:top w:w="90" w:type="dxa"/>
              <w:start w:w="120" w:type="dxa"/>
              <w:bottom w:w="90" w:type="dxa"/>
              <w:end w:w="120" w:type="dxa"/>
            </w:tcMar>
          </w:tcPr>
          <w:p>
            <w:r>
              <w:rPr>
                <w:rFonts w:ascii="Aptos" w:hAnsi="Aptos" w:eastAsia="Aptos"/>
                <w:color w:val="16211F"/>
                <w:sz w:val="19"/>
              </w:rPr>
              <w:t>Hukuki bildirim: [KEP/noter/iadeli taahhütlü/elden] [●]</w:t>
              <w:br/>
              <w:t>Günlük operasyon: [e-posta/yazılım] [●]</w:t>
              <w:br/>
              <w:t>Yetkili kişiler: [●]</w:t>
            </w:r>
          </w:p>
        </w:tc>
      </w:tr>
    </w:tbl>
    <w:p>
      <w:pPr>
        <w:pStyle w:val="Heading1"/>
      </w:pPr>
      <w:r>
        <w:t>1. İşin tanımı ve sözleşme belgeleri</w:t>
      </w:r>
    </w:p>
    <w:p>
      <w:pPr/>
      <w:r>
        <w:t>Yüklenici, [proje adı/adresi] peyzaj uygulama işini onaylı proje, teknik şartname, keşif/metraj ve iş programına uygun tamamlayıp teslim eder. İşin bedel türü: [●] götürü bedel / [●] birim fiyat / [●] maliyet + ücret. Her kalemin ölçüm ve ödeme kuralı Ek-3'tedir.</w:t>
      </w:r>
    </w:p>
    <w:p>
      <w:pPr/>
      <w:r>
        <w:t>Belge önceliği: (1) imzalı değişiklik emirleri, (2) sözleşme, (3) özel teknik şartname, (4) onaylı uygulama projesi, (5) keşif/birim fiyat, (6) genel teknik şartname, (7) teklif. Çelişki fark eden taraf işe devam etmeden yazılı açıklama ister.</w:t>
      </w:r>
    </w:p>
    <w:p>
      <w:pPr>
        <w:pStyle w:val="Heading1"/>
      </w:pPr>
      <w:r>
        <w:t>2. Yer teslimi, mevcut durum ve gizli altyapı</w:t>
      </w:r>
    </w:p>
    <w:p>
      <w:pPr/>
      <w:r>
        <w:t>Yer teslimi [●] tarihinde koordinat/kot, erişim, depolama, su-elektrik noktaları ve korunacak unsurları gösteren tutanakla yapılır. İş sahibi bildiği yeraltı hatlarını ve zemin verilerini verir; yüklenici makul saha kontrolünü yapar. Öngörülemeyen fiziksel koşul fark edilirse bölge güvene alınır, fotoğraflanır ve değişiklik emri süreci işletilir.</w:t>
      </w:r>
    </w:p>
    <w:p>
      <w:pPr>
        <w:pStyle w:val="Heading1"/>
      </w:pPr>
      <w:r>
        <w:t>3. İş programı ve süre</w:t>
      </w:r>
    </w:p>
    <w:p>
      <w:pPr/>
      <w:r>
        <w:t>İşe başlama [●], bitiş [●], toplam [●] takvim/iş günüdür. Kritik kilometre taşları Ek-4'tedir. Olumsuz hava, bitki dikim mevsimi, onay gecikmesi, saha çakışması ve değişikliklerin etkisi günlük kayıtlarla belgelenir. Süre uzatımı talebi olaydan itibaren [3] iş günü içinde neden, gün ve azaltma planıyla sunulur.</w:t>
      </w:r>
    </w:p>
    <w:p>
      <w:pPr/>
      <w:r>
        <w:t>Gecikme cezası varsa günlük [●] TL / sözleşme bedelinin binde [●]'i, toplam üst sınır [%●] olarak belirlenir; ticari makullük ve Türk Borçlar Kanunu'nun ceza koşuluna ilişkin hükümleri saklıdır. Tüketici aleyhine haksız şart oluşturabilecek kayıt kullanılmaz.</w:t>
      </w:r>
    </w:p>
    <w:p>
      <w:pPr>
        <w:pStyle w:val="Heading1"/>
      </w:pPr>
      <w:r>
        <w:t>4. Malzeme, bitki ve numune onayı</w:t>
      </w:r>
    </w:p>
    <w:p>
      <w:pPr>
        <w:numPr>
          <w:ilvl w:val="0"/>
          <w:numId w:val="1"/>
        </w:numPr>
      </w:pPr>
      <w:r>
        <w:rPr>
          <w:rFonts w:ascii="Aptos" w:hAnsi="Aptos" w:eastAsia="Aptos"/>
          <w:color w:val="16211F"/>
          <w:sz w:val="22"/>
        </w:rPr>
        <w:t>Bitkiler tür/kültivar, boy, gövde çevresi, taç, kök sistemi, kap/klod, sağlık ve menşe belgeleriyle sunulur.</w:t>
      </w:r>
    </w:p>
    <w:p>
      <w:pPr>
        <w:numPr>
          <w:ilvl w:val="0"/>
          <w:numId w:val="1"/>
        </w:numPr>
      </w:pPr>
      <w:r>
        <w:rPr>
          <w:rFonts w:ascii="Aptos" w:hAnsi="Aptos" w:eastAsia="Aptos"/>
          <w:color w:val="16211F"/>
          <w:sz w:val="22"/>
        </w:rPr>
        <w:t>Toprak, gübre, drenaj, geotekstil, bordür, ahşap, metal, kent mobilyası ve sulama ekipmanı için ürün teknik föyü/numune onayı alınır.</w:t>
      </w:r>
    </w:p>
    <w:p>
      <w:pPr>
        <w:numPr>
          <w:ilvl w:val="0"/>
          <w:numId w:val="1"/>
        </w:numPr>
      </w:pPr>
      <w:r>
        <w:rPr>
          <w:rFonts w:ascii="Aptos" w:hAnsi="Aptos" w:eastAsia="Aptos"/>
          <w:color w:val="16211F"/>
          <w:sz w:val="22"/>
        </w:rPr>
        <w:t>Onay, yüklenicinin uygunluk ve ayıp sorumluluğunu kaldırmaz. Eşdeğer ürün ancak performans, garanti, servis, çevresel etki ve bedel karşılaştırmasıyla yazılı onaylanır.</w:t>
      </w:r>
    </w:p>
    <w:p>
      <w:pPr>
        <w:numPr>
          <w:ilvl w:val="0"/>
          <w:numId w:val="1"/>
        </w:numPr>
      </w:pPr>
      <w:r>
        <w:rPr>
          <w:rFonts w:ascii="Aptos" w:hAnsi="Aptos" w:eastAsia="Aptos"/>
          <w:color w:val="16211F"/>
          <w:sz w:val="22"/>
        </w:rPr>
        <w:t>Yerli bitki ve yerel iklime uygun türler, proje ve tedarik standardı elverdiği ölçüde tercih edilir; menşe ve kalite kriteri Ek-5'te doğrulanır.</w:t>
      </w:r>
    </w:p>
    <w:p>
      <w:pPr>
        <w:pStyle w:val="Heading1"/>
      </w:pPr>
      <w:r>
        <w:t>5. Bedel, hakediş ve fiyat farkı</w:t>
      </w:r>
    </w:p>
    <w:p>
      <w:pPr/>
      <w:r>
        <w:t>Sözleşme bedeli KDV hariç [●] TL'dir. Avans [%●], teminat [●], hakediş dönemi [aylık/ilerleme bazlı], ödeme vadesi [●] gündür. Hakediş; ortak ölçüm, onaylı imalat, sevk/teslim belgeleri ve varsa test sonuçlarına dayanır. Ret gerekçesi kalem bazında yazılır; ihtilafsız tutar ödenir.</w:t>
      </w:r>
    </w:p>
    <w:p>
      <w:pPr/>
      <w:r>
        <w:t>Fiyat farkı [yoktur / Ek-6 formülüne göre vardır]. Götürü bedelde TBK 480 ve öngörülemeyen hâller; birim fiyatta gerçek ölçüm ve değişiklik emirleri dikkate alınır. Kur, endeks ve malzeme artışının hangi eşiği aşınca uyarlama doğuracağı belirsiz bırakılmaz.</w:t>
      </w:r>
    </w:p>
    <w:p>
      <w:pPr>
        <w:pStyle w:val="Heading1"/>
      </w:pPr>
      <w:r>
        <w:t>6. Değişiklik emri ve ilave iş</w:t>
      </w:r>
    </w:p>
    <w:p>
      <w:pPr/>
      <w:r>
        <w:t>Proje değişikliği, ilave/eksiltme, malzeme ikamesi veya hızlandırma; tanım, gerekçe, miktar, birim fiyat, toplam bedel, süre ve kabul kriteri içeren yazılı form olmadan uygulanmaz. Acil can/mal güvenliği müdahalesi derhâl yapılabilir; en geç [1] iş günü içinde kayıt altına alınır.</w:t>
      </w:r>
    </w:p>
    <w:p>
      <w:pPr>
        <w:pStyle w:val="Heading1"/>
      </w:pPr>
      <w:r>
        <w:t>7. İSG, çevre, izin ve alt yüklenici</w:t>
      </w:r>
    </w:p>
    <w:p>
      <w:pPr/>
      <w:r>
        <w:t>Taraflar 6331 sayılı Kanun ve saha özelindeki iş sağlığı-güvenliği düzenlemelerine göre koordinasyon kurar. Yüklenici personeli ve alt yüklenicileri için eğitim, KKD, iş ekipmanı kontrolü ve günlük saha denetimi sağlar. İş sahibi/ana işverenin devredilemeyen veya birlikte sorumluluk doğuran yükümlülükleri saklıdır.</w:t>
      </w:r>
    </w:p>
    <w:p>
      <w:pPr/>
      <w:r>
        <w:t>Kazı izni, trafik/erişim, ağaç kesme-taşıma, atık, su kullanımı ve diğer idari izinlerin sorumluluk matrisi Ek-7'dedir. Alt yüklenici kullanımı [serbest/yazılı onaya tabi]; onay yüklenicinin sorumluluğunu kaldırmaz.</w:t>
      </w:r>
    </w:p>
    <w:p>
      <w:pPr>
        <w:pStyle w:val="Heading1"/>
      </w:pPr>
      <w:r>
        <w:t>8. Kontrol, test, geçici ve kesin kabul</w:t>
      </w:r>
    </w:p>
    <w:p>
      <w:pPr/>
      <w:r>
        <w:t>Gizli kalacak imalatlar kapatılmadan [24] saat önce kontrol çağrısı yapılır. Toprak/kompaksiyon, drenaj akışı, sulama basınç-debi, elektrik güvenliği ve proje özelindeki diğer testler Ek-8'e göre kayıtlanır.</w:t>
      </w:r>
    </w:p>
    <w:p>
      <w:pPr/>
      <w:r>
        <w:t>Geçici kabulde eksik/ayıp listesi, giderim süresi ve işletmeye alma tarihi yazılır. Kullanıma başlama tek başına tüm ayıpların kabulü sayılmaz. Sonradan ortaya çıkan ayıplar gecikmeksizin bildirilir; TBK 474-478 ve tüketici mevzuatındaki emredici haklar saklıdır. Kesin kabul: [●] ay bakım/tesis dönemi ve listedeki işlerin tamamlanmasından sonra yapılır.</w:t>
      </w:r>
    </w:p>
    <w:p>
      <w:pPr>
        <w:pStyle w:val="Heading1"/>
      </w:pPr>
      <w:r>
        <w:t>9. Garanti, bitki tesis dönemi ve ayıp</w:t>
      </w:r>
    </w:p>
    <w:p>
      <w:pPr/>
      <w:r>
        <w:t>İmalat garanti süresi [●] ay; bitki tesis/bakım süresi [●] ay veya [●] vejetasyon dönemidir. Garanti, kanuni zamanaşımı ve ayıptan doğan hakları daraltmaz. Bitki değişimi için canlılık ölçütü, sulama kayıtları, mevsim ve kaybın nedeni birlikte değerlendirilir.</w:t>
      </w:r>
    </w:p>
    <w:p>
      <w:pPr/>
      <w:r>
        <w:t>Yüklenici ayıbı [●] gün içinde inceleyip acil riskleri derhâl giderir. Onarım/değişim, bedel indirimi, dönme ve zarar hakları işin niteliği ve kanuni koşullara göre uygulanır; tüm riskleri müşteriye yükleyen genel kayıt kullanılmaz.</w:t>
      </w:r>
    </w:p>
    <w:p>
      <w:pPr>
        <w:pStyle w:val="Heading1"/>
      </w:pPr>
      <w:r>
        <w:t>Kişisel veriler ve gizlilik</w:t>
      </w:r>
    </w:p>
    <w:p>
      <w:pPr/>
      <w:r>
        <w:t>Taraflar, sözleşmenin kurulması ve ifası için gerekli kişisel verileri 6698 sayılı Kanun ve ilgili ikincil düzenlemelere uygun olarak, belirli ve meşru amaçlarla, ölçülü biçimde işler. Her taraf kendi veri sorumlusu yükümlülüklerinden sorumludur. Personel listesi, kamera kaydı, konum veya iletişim bilgilerinin paylaşımı gerekiyorsa veri kategorileri, amaç, saklama süresi, alıcı grupları ve güvenlik tedbirleri Ek-[●] içinde gösterilir.</w:t>
      </w:r>
    </w:p>
    <w:p>
      <w:pPr/>
      <w:r>
        <w:t>Taraflar ticari sırları ve proje bilgilerini yalnızca sözleşmenin ifası amacıyla kullanır. Kanuni bildirim yükümlülükleri ile yetkili makam talepleri saklıdır. Gizlilik süresi: [●] yıl / kanuni süre boyunca.</w:t>
      </w:r>
    </w:p>
    <w:p>
      <w:pPr>
        <w:pStyle w:val="Heading1"/>
      </w:pPr>
      <w:r>
        <w:t>Fikrî haklar ve dosya kullanımı</w:t>
      </w:r>
    </w:p>
    <w:p>
      <w:pPr/>
      <w:r>
        <w:t>Özgün plan, proje, detay, görsel, hesap, rapor ve çizimlerin eser niteliği taşıdığı ölçüde mali ve manevi hakları 5846 sayılı Kanuna tabidir. Bedelin tamamının ödenmesiyle müşteriye aşağıdaki kapsamda kullanım izni verilir: proje yeri [●], amaç [●], süre [●], çoğaltma/uyarlama yetkisi [●]. Hak devri amaçlanıyorsa devredilen mali haklar ayrı ayrı, yazılı ve açık biçimde sayılmalıdır.</w:t>
      </w:r>
    </w:p>
    <w:p>
      <w:pPr/>
      <w:r>
        <w:t>Kaynak çalışma dosyaları, üçüncü kişi yazılımları/lisansları, kütüphaneler ve tasarımcının genel bilgi birikimi açıkça aksi kararlaştırılmadıkça devre dahil değildir. Eserde yapılacak değişiklikler teknik sorumluluk ve manevi haklar bakımından tasarımcıya bildirilir.</w:t>
      </w:r>
    </w:p>
    <w:p>
      <w:pPr>
        <w:pStyle w:val="Heading1"/>
      </w:pPr>
      <w:r>
        <w:t>Mücbir sebep ve öngörülemeyen hâller</w:t>
      </w:r>
    </w:p>
    <w:p>
      <w:pPr/>
      <w:r>
        <w:t>Tarafın makul kontrolü dışında gelişen, sözleşme tarihinde öngörülemeyen ve edimin ifasını geçici veya kalıcı olarak engelleyen olaylar, etkisi ölçüsünde değerlendirilir. Etkilenen taraf [3] iş günü içinde olayı, beklenen süreyi ve azaltma tedbirlerini belgeleriyle bildirir. Salt fiyat artışı veya finansman güçlüğü kendiliğinden mücbir sebep sayılmaz; Türk Borçlar Kanunu'nun aşırı ifa güçlüğüne ilişkin emredici değerlendirmesi saklıdır.</w:t>
      </w:r>
    </w:p>
    <w:p>
      <w:pPr/>
      <w:r>
        <w:t>Kesinti [30] günü aşarsa taraflar süre/bedel uyarlamasını görüşür; anlaşma olmazsa kanuni haklar saklı kalmak üzere sözleşme yazılı bildirimle sona erdirilebilir. Tamamlanmış ve kullanılabilir işlerin bedeli ile makul söküm/koruma giderleri hesaplanır.</w:t>
      </w:r>
    </w:p>
    <w:p>
      <w:pPr>
        <w:pStyle w:val="Heading1"/>
      </w:pPr>
      <w:r>
        <w:t>Fesih, temerrüt ve sonuçları</w:t>
      </w:r>
    </w:p>
    <w:p>
      <w:pPr/>
      <w:r>
        <w:t>Esaslı ihlalde, ihlalin niteliği gereği derhâl fesih hakkı saklı olmak üzere, karşı tarafa ihlali gidermesi için [7/14] günlük yazılı süre verilir. Sürede giderilmeyen ihlal hâlinde sözleşme ileriye etkili feshedilebilir veya kanunun izin verdiği diğer haklar kullanılabilir.</w:t>
      </w:r>
    </w:p>
    <w:p>
      <w:pPr/>
      <w:r>
        <w:t>Fesihte işin mevcut seviyesi ortak tutanakla belirlenir; teslim edilebilir dokümanlar, malzemeler, anahtarlar ve veriler iade edilir. Hak edilmiş bedel, kabul edilebilir iş, kusur giderim maliyeti ve kanunen istenebilecek zararlar ayrı kalemler hâlinde hesaplanır. Tüketicinin ve emredici hükümlerin sağladığı haklar sınırlandırılamaz.</w:t>
      </w:r>
    </w:p>
    <w:p>
      <w:pPr>
        <w:pStyle w:val="Heading1"/>
      </w:pPr>
      <w:r>
        <w:t>Uyuşmazlık ve uygulanacak hukuk</w:t>
      </w:r>
    </w:p>
    <w:p>
      <w:pPr/>
      <w:r>
        <w:t>Sözleşmeye Türk hukuku uygulanır. Müşteri tüketici ise görevli ve yetkili merci, 6502 sayılı Kanun ile ilgili yıllık parasal sınırlar uyarınca tüketici hakem heyeti veya tüketici mahkemesidir; emredici yetki kuralları saklıdır. Dava şartı arabuluculuk gereken uyuşmazlıklarda dava öncesi başvuru yapılır.</w:t>
      </w:r>
    </w:p>
    <w:p>
      <w:pPr/>
      <w:r>
        <w:t>Her iki tarafın tacir olduğu ticari işlerde, dava şartı arabuluculuk hükümleri saklı kalmak üzere [●] Mahkemeleri ve İcra Daireleri yetkilidir. Bu yetki kaydı tacir olmayan taraf bakımından emredici yetki kurallarını bertaraf etmez.</w:t>
      </w:r>
    </w:p>
    <w:p>
      <w:pPr/>
      <w:r>
        <w:t>Kamu işi, yabancılık unsuru, tahkim veya birden fazla taşınmaz söz konusuysa bu madde mutlaka ayrıca hukukçu tarafından uyarlanmalıdır.</w:t>
      </w:r>
    </w:p>
    <w:p>
      <w:pPr>
        <w:pStyle w:val="Heading1"/>
      </w:pPr>
      <w:r>
        <w:t>Bütünlük, değişiklik ve nüshalar</w:t>
      </w:r>
    </w:p>
    <w:p>
      <w:pPr/>
      <w:r>
        <w:t>Sözleşme ve ekleri tarafların anlaşmasının bütününü oluşturur. Değişiklikler yetkili temsilcilerce yazılı onaylanır. Operasyonel e-postalar yalnızca sözleşmede yetkilendirilmiş kişilerin ve belirlenmiş limitlerin içinde değişiklik emri sayılır. Herhangi bir hükmün geçersizliği kalan hükümlerin geçerliliğini etkilemez; geçersiz hüküm, amaca en yakın geçerli düzenlemeyle değiştirilir.</w:t>
      </w:r>
    </w:p>
    <w:p>
      <w:pPr/>
      <w:r>
        <w:t>Sözleşme [●] nüsha olarak / güvenli elektronik imzayla imzalanmıştır. Damga vergisi ve diğer mali yükümlülükler için mali müşavir kontrolü yapılır; yükümlülüğün taraflar arasındaki paylaşımı kamuya karşı yasal sorumluluğu ortadan kaldırmaz.</w:t>
      </w:r>
    </w:p>
    <w:p>
      <w:pPr>
        <w:pStyle w:val="Heading1"/>
      </w:pPr>
      <w:r>
        <w:t>Önerilen ekler</w:t>
      </w:r>
    </w:p>
    <w:p>
      <w:pPr>
        <w:numPr>
          <w:ilvl w:val="0"/>
          <w:numId w:val="1"/>
        </w:numPr>
      </w:pPr>
      <w:r>
        <w:rPr>
          <w:rFonts w:ascii="Aptos" w:hAnsi="Aptos" w:eastAsia="Aptos"/>
          <w:color w:val="16211F"/>
          <w:sz w:val="22"/>
        </w:rPr>
        <w:t>Ek-1 Saha ve mevcut durum tutanağı</w:t>
      </w:r>
    </w:p>
    <w:p>
      <w:pPr>
        <w:numPr>
          <w:ilvl w:val="0"/>
          <w:numId w:val="1"/>
        </w:numPr>
      </w:pPr>
      <w:r>
        <w:rPr>
          <w:rFonts w:ascii="Aptos" w:hAnsi="Aptos" w:eastAsia="Aptos"/>
          <w:color w:val="16211F"/>
          <w:sz w:val="22"/>
        </w:rPr>
        <w:t>Ek-2 Onaylı proje ve teknik şartname listesi</w:t>
      </w:r>
    </w:p>
    <w:p>
      <w:pPr>
        <w:numPr>
          <w:ilvl w:val="0"/>
          <w:numId w:val="1"/>
        </w:numPr>
      </w:pPr>
      <w:r>
        <w:rPr>
          <w:rFonts w:ascii="Aptos" w:hAnsi="Aptos" w:eastAsia="Aptos"/>
          <w:color w:val="16211F"/>
          <w:sz w:val="22"/>
        </w:rPr>
        <w:t>Ek-3 Keşif, metraj, birim fiyat ve ölçüm kuralları</w:t>
      </w:r>
    </w:p>
    <w:p>
      <w:pPr>
        <w:numPr>
          <w:ilvl w:val="0"/>
          <w:numId w:val="1"/>
        </w:numPr>
      </w:pPr>
      <w:r>
        <w:rPr>
          <w:rFonts w:ascii="Aptos" w:hAnsi="Aptos" w:eastAsia="Aptos"/>
          <w:color w:val="16211F"/>
          <w:sz w:val="22"/>
        </w:rPr>
        <w:t>Ek-4 İş programı ve kilometre taşları</w:t>
      </w:r>
    </w:p>
    <w:p>
      <w:pPr>
        <w:numPr>
          <w:ilvl w:val="0"/>
          <w:numId w:val="1"/>
        </w:numPr>
      </w:pPr>
      <w:r>
        <w:rPr>
          <w:rFonts w:ascii="Aptos" w:hAnsi="Aptos" w:eastAsia="Aptos"/>
          <w:color w:val="16211F"/>
          <w:sz w:val="22"/>
        </w:rPr>
        <w:t>Ek-5 Bitki/malzeme kalite ve numune listesi</w:t>
      </w:r>
    </w:p>
    <w:p>
      <w:pPr>
        <w:numPr>
          <w:ilvl w:val="0"/>
          <w:numId w:val="1"/>
        </w:numPr>
      </w:pPr>
      <w:r>
        <w:rPr>
          <w:rFonts w:ascii="Aptos" w:hAnsi="Aptos" w:eastAsia="Aptos"/>
          <w:color w:val="16211F"/>
          <w:sz w:val="22"/>
        </w:rPr>
        <w:t>Ek-6 Fiyat farkı formülü</w:t>
      </w:r>
    </w:p>
    <w:p>
      <w:pPr>
        <w:numPr>
          <w:ilvl w:val="0"/>
          <w:numId w:val="1"/>
        </w:numPr>
      </w:pPr>
      <w:r>
        <w:rPr>
          <w:rFonts w:ascii="Aptos" w:hAnsi="Aptos" w:eastAsia="Aptos"/>
          <w:color w:val="16211F"/>
          <w:sz w:val="22"/>
        </w:rPr>
        <w:t>Ek-7 İzin ve İSG sorumluluk matrisi</w:t>
      </w:r>
    </w:p>
    <w:p>
      <w:pPr>
        <w:numPr>
          <w:ilvl w:val="0"/>
          <w:numId w:val="1"/>
        </w:numPr>
      </w:pPr>
      <w:r>
        <w:rPr>
          <w:rFonts w:ascii="Aptos" w:hAnsi="Aptos" w:eastAsia="Aptos"/>
          <w:color w:val="16211F"/>
          <w:sz w:val="22"/>
        </w:rPr>
        <w:t>Ek-8 Test, kontrol ve kabul planı</w:t>
      </w:r>
    </w:p>
    <w:p>
      <w:pPr>
        <w:numPr>
          <w:ilvl w:val="0"/>
          <w:numId w:val="1"/>
        </w:numPr>
      </w:pPr>
      <w:r>
        <w:rPr>
          <w:rFonts w:ascii="Aptos" w:hAnsi="Aptos" w:eastAsia="Aptos"/>
          <w:color w:val="16211F"/>
          <w:sz w:val="22"/>
        </w:rPr>
        <w:t>Ek-9 Değişiklik emri formu</w:t>
      </w:r>
    </w:p>
    <w:p>
      <w:pPr>
        <w:numPr>
          <w:ilvl w:val="0"/>
          <w:numId w:val="1"/>
        </w:numPr>
      </w:pPr>
      <w:r>
        <w:rPr>
          <w:rFonts w:ascii="Aptos" w:hAnsi="Aptos" w:eastAsia="Aptos"/>
          <w:color w:val="16211F"/>
          <w:sz w:val="22"/>
        </w:rPr>
        <w:t>Ek-10 As-built, garanti ve bakım teslim listesi</w:t>
      </w:r>
    </w:p>
    <w:p>
      <w:pPr>
        <w:pStyle w:val="Heading1"/>
      </w:pPr>
      <w:r>
        <w:t>İmza ve ek kontrolü</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Ek-1 [●] • Ek-2 [●] • Ek-3 [●] • Ek-4 [●] • Ek-5 [●]</w:t>
            </w:r>
          </w:p>
        </w:tc>
      </w:tr>
    </w:tbl>
    <w:p>
      <w:pPr>
        <w:pStyle w:val="Heading1"/>
      </w:pPr>
      <w:r>
        <w:t>Hukuki dayanak ve güncellik notu</w:t>
      </w:r>
    </w:p>
    <w:p>
      <w:r>
        <w:t>Bu şablon hazırlanırken aşağıdaki resmî kaynaklar esas alınmıştır. Erişim tarihi: 20 Ağustos 2026. Mevzuat ve parasal sınırlar değişebileceğinden imza tarihinde yeniden kontrol edilmelidir.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pPr>
        <w:spacing w:before="80" w:after="40"/>
        <w:shd w:fill="F2F4F0"/>
        <w:pBdr>
          <w:left w:val="single" w:sz="18" w:space="8" w:color="96A984"/>
        </w:pBdr>
      </w:pPr>
      <w:r>
        <w:rPr>
          <w:rFonts w:ascii="Aptos" w:hAnsi="Aptos" w:eastAsia="Aptos"/>
          <w:b/>
          <w:color w:val="4D6765"/>
          <w:sz w:val="18"/>
        </w:rPr>
        <w:t>PEYSED KULLANIM ILKESI</w:t>
      </w:r>
    </w:p>
    <w:p>
      <w:pPr>
        <w:spacing w:before="0" w:after="160"/>
        <w:shd w:fill="F2F4F0"/>
        <w:pBdr>
          <w:left w:val="single" w:sz="18" w:space="8" w:color="96A984"/>
        </w:pBdr>
      </w:pPr>
      <w:r>
        <w:rPr>
          <w:rFonts w:ascii="Aptos" w:hAnsi="Aptos" w:eastAsia="Aptos"/>
          <w:color w:val="16211F"/>
          <w:sz w:val="20"/>
        </w:rPr>
        <w:t>Şablon ücretsiz bir sektör kılavuzudur. PEYSED taraf değildir; somut sözleşmenin hazırlanması, müzakere edilmesi ve uygulanmasından kullanıcılar sorumludur. Şablonun varlığı, proje ve keşif hizmetlerinin ücretsiz olduğu anlamına gelmez; kapsam ve ücret ayrı ve açık biçimde kararlaştırılmalıdır.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Peyzaj Uygulama Sözleşmesi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