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PEYSED-ŞRT-02</w:t>
      </w:r>
    </w:p>
    <w:p>
      <w:pPr>
        <w:spacing w:after="160"/>
      </w:pPr>
      <w:r>
        <w:rPr>
          <w:rFonts w:ascii="Aptos Display" w:hAnsi="Aptos Display" w:eastAsia="Aptos Display"/>
          <w:b/>
          <w:color w:val="16211F"/>
          <w:sz w:val="50"/>
        </w:rPr>
        <w:t>Peyzaj Uygulama Teknik Şartnamesi</w:t>
      </w:r>
    </w:p>
    <w:p>
      <w:pPr>
        <w:spacing w:after="360"/>
      </w:pPr>
      <w:r>
        <w:rPr>
          <w:rFonts w:ascii="Aptos" w:hAnsi="Aptos" w:eastAsia="Aptos"/>
          <w:color w:val="4D6765"/>
          <w:sz w:val="25"/>
        </w:rPr>
        <w:t>Toprak, drenaj, bitki, çim, malzeme, uygulama ve kabul kriterlerini proje özelinde doldurulabilir hâle getiren örnek şartname.</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Peyzaj mimarları, uygulama firmaları, kontrol teşkilatları, yatırımcılar ve ihale hazırlayan kurumlar</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Proje kimliği ve özel değerler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 / 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İşveren / kontrol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Uygulayıcı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Onaylı proje listesi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Tesis bakım süresi</w:t>
            </w:r>
          </w:p>
        </w:tc>
        <w:tc>
          <w:tcPr>
            <w:tcW w:type="dxa" w:w="6660"/>
            <w:vAlign w:val="center"/>
            <w:tcMar>
              <w:top w:w="90" w:type="dxa"/>
              <w:start w:w="120" w:type="dxa"/>
              <w:bottom w:w="90" w:type="dxa"/>
              <w:end w:w="120" w:type="dxa"/>
            </w:tcMar>
          </w:tcPr>
          <w:p>
            <w:r>
              <w:rPr>
                <w:rFonts w:ascii="Aptos" w:hAnsi="Aptos" w:eastAsia="Aptos"/>
                <w:color w:val="16211F"/>
                <w:sz w:val="19"/>
              </w:rPr>
              <w:t>[●] ay / vejetasyon dönemi</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 / 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Özel standart ve izinler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spacing w:before="80" w:after="40"/>
        <w:shd w:fill="FBF8F1"/>
        <w:pBdr>
          <w:left w:val="single" w:sz="18" w:space="8" w:color="8A6A33"/>
        </w:pBdr>
      </w:pPr>
      <w:r>
        <w:rPr>
          <w:rFonts w:ascii="Aptos" w:hAnsi="Aptos" w:eastAsia="Aptos"/>
          <w:b/>
          <w:color w:val="8A6A33"/>
          <w:sz w:val="18"/>
        </w:rPr>
        <w:t>PROJE ÖZELINDE DOLDURUN</w:t>
      </w:r>
    </w:p>
    <w:p>
      <w:pPr>
        <w:spacing w:before="0" w:after="160"/>
        <w:shd w:fill="FBF8F1"/>
        <w:pBdr>
          <w:left w:val="single" w:sz="18" w:space="8" w:color="8A6A33"/>
        </w:pBdr>
      </w:pPr>
      <w:r>
        <w:rPr>
          <w:rFonts w:ascii="Aptos" w:hAnsi="Aptos" w:eastAsia="Aptos"/>
          <w:color w:val="16211F"/>
          <w:sz w:val="20"/>
        </w:rPr>
        <w:t>Sayısal toleranslar, deney yöntemleri, bitki ölçüleri ve güncel standartlar proje müellifi/kontrol tarafından doldurulmalıdır. Genel ifadeler, ölçülebilir kabul kriterinin yerine geçmez.</w:t>
      </w:r>
    </w:p>
    <w:p>
      <w:pPr>
        <w:pStyle w:val="Heading1"/>
      </w:pPr>
      <w:r>
        <w:t>1. Genel yükümlülükler</w:t>
      </w:r>
    </w:p>
    <w:p>
      <w:pPr>
        <w:numPr>
          <w:ilvl w:val="0"/>
          <w:numId w:val="1"/>
        </w:numPr>
      </w:pPr>
      <w:r>
        <w:rPr>
          <w:rFonts w:ascii="Aptos" w:hAnsi="Aptos" w:eastAsia="Aptos"/>
          <w:color w:val="16211F"/>
          <w:sz w:val="22"/>
        </w:rPr>
        <w:t>Uygulama onaylı proje, detay, keşif, özel şartname ve yazılı değişiklik emirlerine göre yapılır.</w:t>
      </w:r>
    </w:p>
    <w:p>
      <w:pPr>
        <w:numPr>
          <w:ilvl w:val="0"/>
          <w:numId w:val="1"/>
        </w:numPr>
      </w:pPr>
      <w:r>
        <w:rPr>
          <w:rFonts w:ascii="Aptos" w:hAnsi="Aptos" w:eastAsia="Aptos"/>
          <w:color w:val="16211F"/>
          <w:sz w:val="22"/>
        </w:rPr>
        <w:t>Yüklenici imalata başlamadan saha ölçüsü, kot, erişim, mevcut altyapı ve korunacak unsurları doğrular; uyuşmazlığı bildirir.</w:t>
      </w:r>
    </w:p>
    <w:p>
      <w:pPr>
        <w:numPr>
          <w:ilvl w:val="0"/>
          <w:numId w:val="1"/>
        </w:numPr>
      </w:pPr>
      <w:r>
        <w:rPr>
          <w:rFonts w:ascii="Aptos" w:hAnsi="Aptos" w:eastAsia="Aptos"/>
          <w:color w:val="16211F"/>
          <w:sz w:val="22"/>
        </w:rPr>
        <w:t>Malzeme ve bitkiler sevkten önce teknik föy, numune, menşe/parti ve ölçü bilgisiyle onaya sunulur.</w:t>
      </w:r>
    </w:p>
    <w:p>
      <w:pPr>
        <w:numPr>
          <w:ilvl w:val="0"/>
          <w:numId w:val="1"/>
        </w:numPr>
      </w:pPr>
      <w:r>
        <w:rPr>
          <w:rFonts w:ascii="Aptos" w:hAnsi="Aptos" w:eastAsia="Aptos"/>
          <w:color w:val="16211F"/>
          <w:sz w:val="22"/>
        </w:rPr>
        <w:t>Onay, yüklenicinin teknik uygunluk, ayıp ve iş güvenliği sorumluluğunu kaldırmaz.</w:t>
      </w:r>
    </w:p>
    <w:p>
      <w:pPr>
        <w:pStyle w:val="Heading1"/>
      </w:pPr>
      <w:r>
        <w:t>2. Saha hazırlığı ve koruma</w:t>
      </w:r>
    </w:p>
    <w:p>
      <w:pPr/>
      <w:r>
        <w:t>Korunacak ağaçların kök koruma bölgesi, gövde koruması ve makine/depolama yasağı yer tesliminde işaretlenir. Mevcut kot, drenaj çıkışı, yapı yalıtımı, rögar ve hatlar korunur. Söküm, üst toprak sıyırma ve atık sınıflandırması onaylı plana göre yapılır.</w:t>
      </w:r>
    </w:p>
    <w:p>
      <w:pPr/>
      <w:r>
        <w:t>Uygun üst toprak ayrı stoklanır; stok yüksekliği, süre, erozyon/toz kontrolü ve yabancı ot yönetimi: [●]. Kontamine veya şüpheli toprak çalışma alanından ayrılır ve yetkili inceleme yapılmadan kullanılmaz.</w:t>
      </w:r>
    </w:p>
    <w:p>
      <w:pPr>
        <w:pStyle w:val="Heading1"/>
      </w:pPr>
      <w:r>
        <w:t>3. Toprak, tesviye ve drenaj</w:t>
      </w:r>
    </w:p>
    <w:p>
      <w:pPr/>
      <w:r>
        <w:t>Bitkisel toprak kaynağı, doku, organik madde, pH, tuzluluk, taş/yabancı madde, sıkışma ve gerektiğinde besin analiziyle değerlendirilir. Kabul değerleri Ek-A'dadır. Toprak iyileştiriciler analiz ve reçeteye dayanır; hacimsel karışım oranı ve uygulama derinliği kaydedilir.</w:t>
      </w:r>
    </w:p>
    <w:p>
      <w:pPr/>
      <w:r>
        <w:t>Alt temel ve bitkisel toprak tabakaları proje kotuna, drenaj eğimine ve çökmeye izin vermeyecek yönteme göre serilir. Ağaç çukuru içinde su birikmesi kontrol edilir; drenaj hattı/çakıl katmanı yalnızca projede ve uygun çıkışla öngörülmüşse yapılır.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3150"/>
        <w:gridCol w:w="3150"/>
        <w:gridCol w:w="3060"/>
      </w:tblGrid>
      <w:tr>
        <w:trPr>
          <w:tblHeader w:val="true"/>
        </w:trPr>
        <w:tc>
          <w:tcPr>
            <w:tcW w:type="dxa" w:w="3150"/>
            <w:shd w:fill="4D6765"/>
            <w:tcMar>
              <w:top w:w="90" w:type="dxa"/>
              <w:start w:w="120" w:type="dxa"/>
              <w:bottom w:w="90" w:type="dxa"/>
              <w:end w:w="120" w:type="dxa"/>
            </w:tcMar>
          </w:tcPr>
          <w:p>
            <w:r>
              <w:rPr>
                <w:rFonts w:ascii="Aptos" w:hAnsi="Aptos" w:eastAsia="Aptos"/>
                <w:b/>
                <w:color w:val="FFFFFF"/>
                <w:sz w:val="17"/>
              </w:rPr>
              <w:t>Kontrol</w:t>
            </w:r>
          </w:p>
        </w:tc>
        <w:tc>
          <w:tcPr>
            <w:tcW w:type="dxa" w:w="3150"/>
            <w:shd w:fill="4D6765"/>
            <w:tcMar>
              <w:top w:w="90" w:type="dxa"/>
              <w:start w:w="120" w:type="dxa"/>
              <w:bottom w:w="90" w:type="dxa"/>
              <w:end w:w="120" w:type="dxa"/>
            </w:tcMar>
          </w:tcPr>
          <w:p>
            <w:r>
              <w:rPr>
                <w:rFonts w:ascii="Aptos" w:hAnsi="Aptos" w:eastAsia="Aptos"/>
                <w:b/>
                <w:color w:val="FFFFFF"/>
                <w:sz w:val="17"/>
              </w:rPr>
              <w:t>Proje değeri</w:t>
            </w:r>
          </w:p>
        </w:tc>
        <w:tc>
          <w:tcPr>
            <w:tcW w:type="dxa" w:w="3060"/>
            <w:shd w:fill="4D6765"/>
            <w:tcMar>
              <w:top w:w="90" w:type="dxa"/>
              <w:start w:w="120" w:type="dxa"/>
              <w:bottom w:w="90" w:type="dxa"/>
              <w:end w:w="120" w:type="dxa"/>
            </w:tcMar>
          </w:tcPr>
          <w:p>
            <w:r>
              <w:rPr>
                <w:rFonts w:ascii="Aptos" w:hAnsi="Aptos" w:eastAsia="Aptos"/>
                <w:b/>
                <w:color w:val="FFFFFF"/>
                <w:sz w:val="17"/>
              </w:rPr>
              <w:t>Kabul yöntemi</w:t>
            </w:r>
          </w:p>
        </w:tc>
      </w:tr>
      <w:tr>
        <w:tc>
          <w:tcPr>
            <w:tcW w:type="dxa" w:w="3150"/>
            <w:tcMar>
              <w:top w:w="90" w:type="dxa"/>
              <w:start w:w="120" w:type="dxa"/>
              <w:bottom w:w="90" w:type="dxa"/>
              <w:end w:w="120" w:type="dxa"/>
            </w:tcMar>
          </w:tcPr>
          <w:p>
            <w:r>
              <w:rPr>
                <w:rFonts w:ascii="Aptos" w:hAnsi="Aptos" w:eastAsia="Aptos"/>
                <w:color w:val="16211F"/>
                <w:sz w:val="17"/>
              </w:rPr>
              <w:t>Bitkisel toprak kalınlığı</w:t>
            </w:r>
          </w:p>
        </w:tc>
        <w:tc>
          <w:tcPr>
            <w:tcW w:type="dxa" w:w="3150"/>
            <w:tcMar>
              <w:top w:w="90" w:type="dxa"/>
              <w:start w:w="120" w:type="dxa"/>
              <w:bottom w:w="90" w:type="dxa"/>
              <w:end w:w="120" w:type="dxa"/>
            </w:tcMar>
          </w:tcPr>
          <w:p>
            <w:r>
              <w:rPr>
                <w:rFonts w:ascii="Aptos" w:hAnsi="Aptos" w:eastAsia="Aptos"/>
                <w:color w:val="16211F"/>
                <w:sz w:val="17"/>
              </w:rPr>
              <w:t>Çim [●] cm • Çalı [●] cm • Ağaç [●] cm</w:t>
            </w:r>
          </w:p>
        </w:tc>
        <w:tc>
          <w:tcPr>
            <w:tcW w:type="dxa" w:w="3060"/>
            <w:tcMar>
              <w:top w:w="90" w:type="dxa"/>
              <w:start w:w="120" w:type="dxa"/>
              <w:bottom w:w="90" w:type="dxa"/>
              <w:end w:w="120" w:type="dxa"/>
            </w:tcMar>
          </w:tcPr>
          <w:p>
            <w:r>
              <w:rPr>
                <w:rFonts w:ascii="Aptos" w:hAnsi="Aptos" w:eastAsia="Aptos"/>
                <w:color w:val="16211F"/>
                <w:sz w:val="17"/>
              </w:rPr>
              <w:t>Saha ölçümü / tutanak</w:t>
            </w:r>
          </w:p>
        </w:tc>
      </w:tr>
      <w:tr>
        <w:tc>
          <w:tcPr>
            <w:tcW w:type="dxa" w:w="3150"/>
            <w:shd w:fill="F8FAF7"/>
            <w:tcMar>
              <w:top w:w="90" w:type="dxa"/>
              <w:start w:w="120" w:type="dxa"/>
              <w:bottom w:w="90" w:type="dxa"/>
              <w:end w:w="120" w:type="dxa"/>
            </w:tcMar>
          </w:tcPr>
          <w:p>
            <w:r>
              <w:rPr>
                <w:rFonts w:ascii="Aptos" w:hAnsi="Aptos" w:eastAsia="Aptos"/>
                <w:color w:val="16211F"/>
                <w:sz w:val="17"/>
              </w:rPr>
              <w:t>pH / EC / organik madde</w:t>
            </w:r>
          </w:p>
        </w:tc>
        <w:tc>
          <w:tcPr>
            <w:tcW w:type="dxa" w:w="3150"/>
            <w:shd w:fill="F8FAF7"/>
            <w:tcMar>
              <w:top w:w="90" w:type="dxa"/>
              <w:start w:w="120" w:type="dxa"/>
              <w:bottom w:w="90" w:type="dxa"/>
              <w:end w:w="120" w:type="dxa"/>
            </w:tcMar>
          </w:tcPr>
          <w:p>
            <w:r>
              <w:rPr>
                <w:rFonts w:ascii="Aptos" w:hAnsi="Aptos" w:eastAsia="Aptos"/>
                <w:color w:val="16211F"/>
                <w:sz w:val="17"/>
              </w:rPr>
              <w:t>[●] / [●] / [%●]</w:t>
            </w:r>
          </w:p>
        </w:tc>
        <w:tc>
          <w:tcPr>
            <w:tcW w:type="dxa" w:w="3060"/>
            <w:shd w:fill="F8FAF7"/>
            <w:tcMar>
              <w:top w:w="90" w:type="dxa"/>
              <w:start w:w="120" w:type="dxa"/>
              <w:bottom w:w="90" w:type="dxa"/>
              <w:end w:w="120" w:type="dxa"/>
            </w:tcMar>
          </w:tcPr>
          <w:p>
            <w:r>
              <w:rPr>
                <w:rFonts w:ascii="Aptos" w:hAnsi="Aptos" w:eastAsia="Aptos"/>
                <w:color w:val="16211F"/>
                <w:sz w:val="17"/>
              </w:rPr>
              <w:t>Akredite/uygun laboratuvar</w:t>
            </w:r>
          </w:p>
        </w:tc>
      </w:tr>
      <w:tr>
        <w:tc>
          <w:tcPr>
            <w:tcW w:type="dxa" w:w="3150"/>
            <w:tcMar>
              <w:top w:w="90" w:type="dxa"/>
              <w:start w:w="120" w:type="dxa"/>
              <w:bottom w:w="90" w:type="dxa"/>
              <w:end w:w="120" w:type="dxa"/>
            </w:tcMar>
          </w:tcPr>
          <w:p>
            <w:r>
              <w:rPr>
                <w:rFonts w:ascii="Aptos" w:hAnsi="Aptos" w:eastAsia="Aptos"/>
                <w:color w:val="16211F"/>
                <w:sz w:val="17"/>
              </w:rPr>
              <w:t>Yüzey eğimi</w:t>
            </w:r>
          </w:p>
        </w:tc>
        <w:tc>
          <w:tcPr>
            <w:tcW w:type="dxa" w:w="3150"/>
            <w:tcMar>
              <w:top w:w="90" w:type="dxa"/>
              <w:start w:w="120" w:type="dxa"/>
              <w:bottom w:w="90" w:type="dxa"/>
              <w:end w:w="120" w:type="dxa"/>
            </w:tcMar>
          </w:tcPr>
          <w:p>
            <w:r>
              <w:rPr>
                <w:rFonts w:ascii="Aptos" w:hAnsi="Aptos" w:eastAsia="Aptos"/>
                <w:color w:val="16211F"/>
                <w:sz w:val="17"/>
              </w:rPr>
              <w:t>Min [%●] • Maks [%●]</w:t>
            </w:r>
          </w:p>
        </w:tc>
        <w:tc>
          <w:tcPr>
            <w:tcW w:type="dxa" w:w="3060"/>
            <w:tcMar>
              <w:top w:w="90" w:type="dxa"/>
              <w:start w:w="120" w:type="dxa"/>
              <w:bottom w:w="90" w:type="dxa"/>
              <w:end w:w="120" w:type="dxa"/>
            </w:tcMar>
          </w:tcPr>
          <w:p>
            <w:r>
              <w:rPr>
                <w:rFonts w:ascii="Aptos" w:hAnsi="Aptos" w:eastAsia="Aptos"/>
                <w:color w:val="16211F"/>
                <w:sz w:val="17"/>
              </w:rPr>
              <w:t>Kot ve mastar ölçümü</w:t>
            </w:r>
          </w:p>
        </w:tc>
      </w:tr>
      <w:tr>
        <w:tc>
          <w:tcPr>
            <w:tcW w:type="dxa" w:w="3150"/>
            <w:shd w:fill="F8FAF7"/>
            <w:tcMar>
              <w:top w:w="90" w:type="dxa"/>
              <w:start w:w="120" w:type="dxa"/>
              <w:bottom w:w="90" w:type="dxa"/>
              <w:end w:w="120" w:type="dxa"/>
            </w:tcMar>
          </w:tcPr>
          <w:p>
            <w:r>
              <w:rPr>
                <w:rFonts w:ascii="Aptos" w:hAnsi="Aptos" w:eastAsia="Aptos"/>
                <w:color w:val="16211F"/>
                <w:sz w:val="17"/>
              </w:rPr>
              <w:t>Drenaj testi</w:t>
            </w:r>
          </w:p>
        </w:tc>
        <w:tc>
          <w:tcPr>
            <w:tcW w:type="dxa" w:w="3150"/>
            <w:shd w:fill="F8FAF7"/>
            <w:tcMar>
              <w:top w:w="90" w:type="dxa"/>
              <w:start w:w="120" w:type="dxa"/>
              <w:bottom w:w="90" w:type="dxa"/>
              <w:end w:w="120" w:type="dxa"/>
            </w:tcMar>
          </w:tcPr>
          <w:p>
            <w:r>
              <w:rPr>
                <w:rFonts w:ascii="Aptos" w:hAnsi="Aptos" w:eastAsia="Aptos"/>
                <w:color w:val="16211F"/>
                <w:sz w:val="17"/>
              </w:rPr>
              <w:t>[●]</w:t>
            </w:r>
          </w:p>
        </w:tc>
        <w:tc>
          <w:tcPr>
            <w:tcW w:type="dxa" w:w="3060"/>
            <w:shd w:fill="F8FAF7"/>
            <w:tcMar>
              <w:top w:w="90" w:type="dxa"/>
              <w:start w:w="120" w:type="dxa"/>
              <w:bottom w:w="90" w:type="dxa"/>
              <w:end w:w="120" w:type="dxa"/>
            </w:tcMar>
          </w:tcPr>
          <w:p>
            <w:r>
              <w:rPr>
                <w:rFonts w:ascii="Aptos" w:hAnsi="Aptos" w:eastAsia="Aptos"/>
                <w:color w:val="16211F"/>
                <w:sz w:val="17"/>
              </w:rPr>
              <w:t>Doldurma/akış gözlemi</w:t>
            </w:r>
          </w:p>
        </w:tc>
      </w:tr>
      <w:tr>
        <w:tc>
          <w:tcPr>
            <w:tcW w:type="dxa" w:w="3150"/>
            <w:tcMar>
              <w:top w:w="90" w:type="dxa"/>
              <w:start w:w="120" w:type="dxa"/>
              <w:bottom w:w="90" w:type="dxa"/>
              <w:end w:w="120" w:type="dxa"/>
            </w:tcMar>
          </w:tcPr>
          <w:p>
            <w:r>
              <w:rPr>
                <w:rFonts w:ascii="Aptos" w:hAnsi="Aptos" w:eastAsia="Aptos"/>
                <w:color w:val="16211F"/>
                <w:sz w:val="17"/>
              </w:rPr>
              <w:t>Sıkışma</w:t>
            </w:r>
          </w:p>
        </w:tc>
        <w:tc>
          <w:tcPr>
            <w:tcW w:type="dxa" w:w="3150"/>
            <w:tcMar>
              <w:top w:w="90" w:type="dxa"/>
              <w:start w:w="120" w:type="dxa"/>
              <w:bottom w:w="90" w:type="dxa"/>
              <w:end w:w="120" w:type="dxa"/>
            </w:tcMar>
          </w:tcPr>
          <w:p>
            <w:r>
              <w:rPr>
                <w:rFonts w:ascii="Aptos" w:hAnsi="Aptos" w:eastAsia="Aptos"/>
                <w:color w:val="16211F"/>
                <w:sz w:val="17"/>
              </w:rPr>
              <w:t>[●]</w:t>
            </w:r>
          </w:p>
        </w:tc>
        <w:tc>
          <w:tcPr>
            <w:tcW w:type="dxa" w:w="3060"/>
            <w:tcMar>
              <w:top w:w="90" w:type="dxa"/>
              <w:start w:w="120" w:type="dxa"/>
              <w:bottom w:w="90" w:type="dxa"/>
              <w:end w:w="120" w:type="dxa"/>
            </w:tcMar>
          </w:tcPr>
          <w:p>
            <w:r>
              <w:rPr>
                <w:rFonts w:ascii="Aptos" w:hAnsi="Aptos" w:eastAsia="Aptos"/>
                <w:color w:val="16211F"/>
                <w:sz w:val="17"/>
              </w:rPr>
              <w:t>Proje özel deney yöntemi</w:t>
            </w:r>
          </w:p>
        </w:tc>
      </w:tr>
    </w:tbl>
    <w:p>
      <w:pPr>
        <w:pStyle w:val="Heading1"/>
      </w:pPr>
      <w:r>
        <w:t>4. Bitki materyali</w:t>
      </w:r>
    </w:p>
    <w:p>
      <w:pPr>
        <w:numPr>
          <w:ilvl w:val="0"/>
          <w:numId w:val="1"/>
        </w:numPr>
      </w:pPr>
      <w:r>
        <w:rPr>
          <w:rFonts w:ascii="Aptos" w:hAnsi="Aptos" w:eastAsia="Aptos"/>
          <w:color w:val="16211F"/>
          <w:sz w:val="22"/>
        </w:rPr>
        <w:t>Tür/kültivar, adet, boy, gövde çevresi, taç genişliği, kap/klod ve form değerleri bitki listesiyle uyumlu olur.</w:t>
      </w:r>
    </w:p>
    <w:p>
      <w:pPr>
        <w:numPr>
          <w:ilvl w:val="0"/>
          <w:numId w:val="1"/>
        </w:numPr>
      </w:pPr>
      <w:r>
        <w:rPr>
          <w:rFonts w:ascii="Aptos" w:hAnsi="Aptos" w:eastAsia="Aptos"/>
          <w:color w:val="16211F"/>
          <w:sz w:val="22"/>
        </w:rPr>
        <w:t>Bitkiler sağlıklı, türüne özgü formda, dengeli kök sistemli; ciddi yara, zararlı, hastalık, kırık lider, saksı kök dönmesi ve yabancı ottan arınmış olur.</w:t>
      </w:r>
    </w:p>
    <w:p>
      <w:pPr>
        <w:numPr>
          <w:ilvl w:val="0"/>
          <w:numId w:val="1"/>
        </w:numPr>
      </w:pPr>
      <w:r>
        <w:rPr>
          <w:rFonts w:ascii="Aptos" w:hAnsi="Aptos" w:eastAsia="Aptos"/>
          <w:color w:val="16211F"/>
          <w:sz w:val="22"/>
        </w:rPr>
        <w:t>Fidanlıkta etiketleme ve parti izlenebilirliği sağlanır. İthalat/karantina veya bitki pasaportu gibi yasal belgeler gerektiğinde sunulur.</w:t>
      </w:r>
    </w:p>
    <w:p>
      <w:pPr>
        <w:numPr>
          <w:ilvl w:val="0"/>
          <w:numId w:val="1"/>
        </w:numPr>
      </w:pPr>
      <w:r>
        <w:rPr>
          <w:rFonts w:ascii="Aptos" w:hAnsi="Aptos" w:eastAsia="Aptos"/>
          <w:color w:val="16211F"/>
          <w:sz w:val="22"/>
        </w:rPr>
        <w:t>Yerli üretim ve yerel iklime uyumlu bitkiler, projedeki kalite ve performans ölçütlerini karşılaması koşuluyla önceliklendirilir; menşe tek başına kalite kanıtı değildir.</w:t>
      </w:r>
    </w:p>
    <w:p>
      <w:pPr>
        <w:numPr>
          <w:ilvl w:val="0"/>
          <w:numId w:val="1"/>
        </w:numPr>
      </w:pPr>
      <w:r>
        <w:rPr>
          <w:rFonts w:ascii="Aptos" w:hAnsi="Aptos" w:eastAsia="Aptos"/>
          <w:color w:val="16211F"/>
          <w:sz w:val="22"/>
        </w:rPr>
        <w:t>Sevk sırasında kök/toprak nemi korunur; bekletme alanı gölge/rüzgâr ve sulama bakımından uygun olur.</w:t>
      </w:r>
    </w:p>
    <w:p>
      <w:pPr>
        <w:pStyle w:val="Heading1"/>
      </w:pPr>
      <w:r>
        <w:t>5. Dikim işleri</w:t>
      </w:r>
    </w:p>
    <w:p>
      <w:pPr/>
      <w:r>
        <w:t>Dikim yeri, aks ve kotları projeden aplike edilir. Çukur genişliği/derinliği kök sistemine ve toprak koşuluna göre ayarlanır; kök boğazı bitmiş kotta tutulur. Tel, sentetik bağ, kırık kök ve uygun olmayan ambalaj uzaklaştırılır; kök topu dağıtılmaz. Geri dolgu reçetesi [●].</w:t>
      </w:r>
    </w:p>
    <w:p>
      <w:pPr/>
      <w:r>
        <w:t>Can suyu dikimle birlikte verilir; sulama çanağı, malç, herekleme/ankraj ve gövde koruma detayına göre yapılır. Bağlar gövdeyi boğmayacak esneklikte ve periyodik kontrollü olur. Budama yalnızca hasarlı/çakışan kısımlarla sınırlı, tür ve mevsime uygun yapılır.</w:t>
      </w:r>
    </w:p>
    <w:p>
      <w:pPr>
        <w:pStyle w:val="Heading1"/>
      </w:pPr>
      <w:r>
        <w:t>6. Çalı, yer örtücü, çim ve çayır</w:t>
      </w:r>
    </w:p>
    <w:p>
      <w:pPr/>
      <w:r>
        <w:t>Çalı/yer örtücü aralıkları projeye göre aplike edilir; üçgen/kare dizilim ve sınır dönüşleri netleştirilir. Çim alan alt toprağı, üst toprak, ince tesviye ve sulama testi tamamlanmadan serim/ekim yapılmaz. Rulo çim parti, tür karışımı, tazelik ve yabancı ot açısından kontrol edilir; derzler şaşırtmalı ve boşluksuz döşenir.</w:t>
      </w:r>
    </w:p>
    <w:p>
      <w:pPr/>
      <w:r>
        <w:t>Tohum karışımı tür/yüzde/çimlenme/safiyet bilgisiyle sunulur. Ekim miktarı [●] g/m², dönem [●], ilk biçim yüksekliği [●] cm ve kabul kaplama oranı [%●]'dir. Çayır/doğal alanlarda biçim rejimi ve biyolojik çeşitlilik hedefi ayrıca tanımlanır.</w:t>
      </w:r>
    </w:p>
    <w:p>
      <w:pPr>
        <w:pStyle w:val="Heading1"/>
      </w:pPr>
      <w:r>
        <w:t>7. Malç, toprak iyileştirici ve gübre</w:t>
      </w:r>
    </w:p>
    <w:p>
      <w:pPr/>
      <w:r>
        <w:t>Malç türü, tane boyu, kalınlık ve yangın/yapı mesafesi: [●]. Malç kök boğazı ve gövdeye yığılmaz. Gübre/toprak düzenleyici uygulaması toprak analizi ve bitki gereğine dayanır; ürün, doz, parti ve tarih kayıtlanır. Ruhsat/etiket dışı ürün kullanılmaz.</w:t>
      </w:r>
    </w:p>
    <w:p>
      <w:pPr>
        <w:pStyle w:val="Heading1"/>
      </w:pPr>
      <w:r>
        <w:t>8. Sulama, drenaj ve diğer disiplinlerle koordinasyon</w:t>
      </w:r>
    </w:p>
    <w:p>
      <w:pPr/>
      <w:r>
        <w:t>Bitkilendirme öncesi sulama zonları çalıştırılır; başlık kotu, kapsama, damla hat debisi, vana erişimi ve kaçaklar kontrol edilir. Drenaj çıkışları açık, rögar/ızgaralar bitmiş kota uyumlu bırakılır. Aydınlatma, elektrik, yapı yalıtımı, temel, çocuk oyun alanı ve mobilya güvenlik boşluklarıyla çakışma giderilir.</w:t>
      </w:r>
    </w:p>
    <w:p>
      <w:pPr>
        <w:pStyle w:val="Heading1"/>
      </w:pPr>
      <w:r>
        <w:t>9. Sert peyzaj arayüzleri</w:t>
      </w:r>
    </w:p>
    <w:p>
      <w:pPr>
        <w:numPr>
          <w:ilvl w:val="0"/>
          <w:numId w:val="1"/>
        </w:numPr>
      </w:pPr>
      <w:r>
        <w:rPr>
          <w:rFonts w:ascii="Aptos" w:hAnsi="Aptos" w:eastAsia="Aptos"/>
          <w:color w:val="16211F"/>
          <w:sz w:val="22"/>
        </w:rPr>
        <w:t>Bordür, kaplama, duvar, merdiven, rampa ve mobilya temellerinin aplikasyon/kot ve drenaj ilişkisi kontrol edilir.</w:t>
      </w:r>
    </w:p>
    <w:p>
      <w:pPr>
        <w:numPr>
          <w:ilvl w:val="0"/>
          <w:numId w:val="1"/>
        </w:numPr>
      </w:pPr>
      <w:r>
        <w:rPr>
          <w:rFonts w:ascii="Aptos" w:hAnsi="Aptos" w:eastAsia="Aptos"/>
          <w:color w:val="16211F"/>
          <w:sz w:val="22"/>
        </w:rPr>
        <w:t>Erişilebilir güzergâhlarda yüzey sürekliliği, kayma/takılma riski, enine-boyuna eğim ve geçiş detayları proje kriterlerine uygun olur.</w:t>
      </w:r>
    </w:p>
    <w:p>
      <w:pPr>
        <w:numPr>
          <w:ilvl w:val="0"/>
          <w:numId w:val="1"/>
        </w:numPr>
      </w:pPr>
      <w:r>
        <w:rPr>
          <w:rFonts w:ascii="Aptos" w:hAnsi="Aptos" w:eastAsia="Aptos"/>
          <w:color w:val="16211F"/>
          <w:sz w:val="22"/>
        </w:rPr>
        <w:t>Ahşap/metal/taş ürünlerde yüzey, bağlantı, keskin kenar, korozyon ve bakım gereği malzeme şartnamesinde tanımlanır.</w:t>
      </w:r>
    </w:p>
    <w:p>
      <w:pPr>
        <w:numPr>
          <w:ilvl w:val="0"/>
          <w:numId w:val="1"/>
        </w:numPr>
      </w:pPr>
      <w:r>
        <w:rPr>
          <w:rFonts w:ascii="Aptos" w:hAnsi="Aptos" w:eastAsia="Aptos"/>
          <w:color w:val="16211F"/>
          <w:sz w:val="22"/>
        </w:rPr>
        <w:t>Ağaç kökü ile yapı/kaplama arasında büyüme alanı ve gerektiğinde kök yönlendirme çözümü projeye göre uygulanır.</w:t>
      </w:r>
    </w:p>
    <w:p>
      <w:pPr>
        <w:pStyle w:val="Heading1"/>
      </w:pPr>
      <w:r>
        <w:t>10. Tesis bakımı</w:t>
      </w:r>
    </w:p>
    <w:p>
      <w:pPr/>
      <w:r>
        <w:t>Tesis bakım süresince sulama programı, yabancı ot, biçme, budama, herek/bağ, malç, gübreleme, zararlı gözlemi ve bitki değişimi yürütülür. Her işlem tarih, alan, ürün/doz ve fotoğrafla kaydedilir. Bitki kayıplarında neden analizi yapılır; aynı koşul düzeltilmeden tekrar dikim yapılmaz.</w:t>
      </w:r>
    </w:p>
    <w:p>
      <w:pPr>
        <w:pStyle w:val="Heading1"/>
      </w:pPr>
      <w:r>
        <w:t>11. Kontrol, kabul ve teslim</w:t>
      </w:r>
    </w:p>
    <w:p>
      <w:pPr>
        <w:numPr>
          <w:ilvl w:val="0"/>
          <w:numId w:val="10"/>
        </w:numPr>
      </w:pPr>
      <w:r>
        <w:rPr>
          <w:rFonts w:ascii="Aptos" w:hAnsi="Aptos" w:eastAsia="Aptos"/>
          <w:color w:val="16211F"/>
          <w:sz w:val="22"/>
        </w:rPr>
        <w:t>Gizli işler ve toprak tabakaları kapatılmadan kontrol edilir.</w:t>
      </w:r>
    </w:p>
    <w:p>
      <w:pPr>
        <w:numPr>
          <w:ilvl w:val="0"/>
          <w:numId w:val="10"/>
        </w:numPr>
      </w:pPr>
      <w:r>
        <w:rPr>
          <w:rFonts w:ascii="Aptos" w:hAnsi="Aptos" w:eastAsia="Aptos"/>
          <w:color w:val="16211F"/>
          <w:sz w:val="22"/>
        </w:rPr>
        <w:t>Bitki sayım/ölçüm ve sağlık kontrolü parti bazında yapılır; uygunsuz malzeme sahadan uzaklaştırılır.</w:t>
      </w:r>
    </w:p>
    <w:p>
      <w:pPr>
        <w:numPr>
          <w:ilvl w:val="0"/>
          <w:numId w:val="10"/>
        </w:numPr>
      </w:pPr>
      <w:r>
        <w:rPr>
          <w:rFonts w:ascii="Aptos" w:hAnsi="Aptos" w:eastAsia="Aptos"/>
          <w:color w:val="16211F"/>
          <w:sz w:val="22"/>
        </w:rPr>
        <w:t>Sulama ve drenaj çalışır durumda test edilir; yüzey akışı/erozyon gözlenir.</w:t>
      </w:r>
    </w:p>
    <w:p>
      <w:pPr>
        <w:numPr>
          <w:ilvl w:val="0"/>
          <w:numId w:val="10"/>
        </w:numPr>
      </w:pPr>
      <w:r>
        <w:rPr>
          <w:rFonts w:ascii="Aptos" w:hAnsi="Aptos" w:eastAsia="Aptos"/>
          <w:color w:val="16211F"/>
          <w:sz w:val="22"/>
        </w:rPr>
        <w:t>Geçici kabulde eksik/ayıp listesi ve giderim süresi belirlenir.</w:t>
      </w:r>
    </w:p>
    <w:p>
      <w:pPr>
        <w:numPr>
          <w:ilvl w:val="0"/>
          <w:numId w:val="10"/>
        </w:numPr>
      </w:pPr>
      <w:r>
        <w:rPr>
          <w:rFonts w:ascii="Aptos" w:hAnsi="Aptos" w:eastAsia="Aptos"/>
          <w:color w:val="16211F"/>
          <w:sz w:val="22"/>
        </w:rPr>
        <w:t>As-built, bakım planı, ürün/bitki listeleri, analizler, garanti ve fotoğraf arşivi teslim edilir.</w:t>
      </w:r>
    </w:p>
    <w:p>
      <w:pPr>
        <w:numPr>
          <w:ilvl w:val="0"/>
          <w:numId w:val="10"/>
        </w:numPr>
      </w:pPr>
      <w:r>
        <w:rPr>
          <w:rFonts w:ascii="Aptos" w:hAnsi="Aptos" w:eastAsia="Aptos"/>
          <w:color w:val="16211F"/>
          <w:sz w:val="22"/>
        </w:rPr>
        <w:t>Kesin kabul, tesis bakım süresi sonunda canlılık, kaplama, büyüme ve kusur kriterleri sağlandığında yapılır.</w:t>
      </w:r>
    </w:p>
    <w:p>
      <w:pPr>
        <w:pStyle w:val="Heading1"/>
      </w:pPr>
      <w:r>
        <w:t>12. İSG, çevre ve kayıt</w:t>
      </w:r>
    </w:p>
    <w:p>
      <w:pPr/>
      <w:r>
        <w:t>Yüklenici kazı, makine, kaldırma, kimyasal, gürültü/toz, sıcak/soğuk hava ve saha trafiği risklerini yönetir. İş sahibi/ana işverenle 6331 sayılı Kanuna uygun koordinasyon kurulur. Su, toprak ve malzeme israfı azaltılır; invaziv tür, kontamine toprak ve atıklar proje ve mevzuata uygun yönetilir.</w:t>
      </w:r>
    </w:p>
    <w:p>
      <w:pPr>
        <w:pStyle w:val="Heading1"/>
      </w:pPr>
      <w:r>
        <w:t>Önerilen ekler</w:t>
      </w:r>
    </w:p>
    <w:p>
      <w:pPr>
        <w:numPr>
          <w:ilvl w:val="0"/>
          <w:numId w:val="1"/>
        </w:numPr>
      </w:pPr>
      <w:r>
        <w:rPr>
          <w:rFonts w:ascii="Aptos" w:hAnsi="Aptos" w:eastAsia="Aptos"/>
          <w:color w:val="16211F"/>
          <w:sz w:val="22"/>
        </w:rPr>
        <w:t>Ek-A Toprak kabul değerleri ve analiz planı</w:t>
      </w:r>
    </w:p>
    <w:p>
      <w:pPr>
        <w:numPr>
          <w:ilvl w:val="0"/>
          <w:numId w:val="1"/>
        </w:numPr>
      </w:pPr>
      <w:r>
        <w:rPr>
          <w:rFonts w:ascii="Aptos" w:hAnsi="Aptos" w:eastAsia="Aptos"/>
          <w:color w:val="16211F"/>
          <w:sz w:val="22"/>
        </w:rPr>
        <w:t>Ek-B Bitki listesi ve kalite ölçütleri</w:t>
      </w:r>
    </w:p>
    <w:p>
      <w:pPr>
        <w:numPr>
          <w:ilvl w:val="0"/>
          <w:numId w:val="1"/>
        </w:numPr>
      </w:pPr>
      <w:r>
        <w:rPr>
          <w:rFonts w:ascii="Aptos" w:hAnsi="Aptos" w:eastAsia="Aptos"/>
          <w:color w:val="16211F"/>
          <w:sz w:val="22"/>
        </w:rPr>
        <w:t>Ek-C Numune/ürün onay formu</w:t>
      </w:r>
    </w:p>
    <w:p>
      <w:pPr>
        <w:numPr>
          <w:ilvl w:val="0"/>
          <w:numId w:val="1"/>
        </w:numPr>
      </w:pPr>
      <w:r>
        <w:rPr>
          <w:rFonts w:ascii="Aptos" w:hAnsi="Aptos" w:eastAsia="Aptos"/>
          <w:color w:val="16211F"/>
          <w:sz w:val="22"/>
        </w:rPr>
        <w:t>Ek-D Kontrol ve test planı</w:t>
      </w:r>
    </w:p>
    <w:p>
      <w:pPr>
        <w:numPr>
          <w:ilvl w:val="0"/>
          <w:numId w:val="1"/>
        </w:numPr>
      </w:pPr>
      <w:r>
        <w:rPr>
          <w:rFonts w:ascii="Aptos" w:hAnsi="Aptos" w:eastAsia="Aptos"/>
          <w:color w:val="16211F"/>
          <w:sz w:val="22"/>
        </w:rPr>
        <w:t>Ek-E Tesis bakım programı</w:t>
      </w:r>
    </w:p>
    <w:p>
      <w:pPr>
        <w:numPr>
          <w:ilvl w:val="0"/>
          <w:numId w:val="1"/>
        </w:numPr>
      </w:pPr>
      <w:r>
        <w:rPr>
          <w:rFonts w:ascii="Aptos" w:hAnsi="Aptos" w:eastAsia="Aptos"/>
          <w:color w:val="16211F"/>
          <w:sz w:val="22"/>
        </w:rPr>
        <w:t>Ek-F Geçici/kesin kabul kontrol listesi</w:t>
      </w:r>
    </w:p>
    <w:p>
      <w:pPr>
        <w:numPr>
          <w:ilvl w:val="0"/>
          <w:numId w:val="1"/>
        </w:numPr>
      </w:pPr>
      <w:r>
        <w:rPr>
          <w:rFonts w:ascii="Aptos" w:hAnsi="Aptos" w:eastAsia="Aptos"/>
          <w:color w:val="16211F"/>
          <w:sz w:val="22"/>
        </w:rPr>
        <w:t>Ek-G Yerli bitki menşe ve kalite kayıt formu</w:t>
      </w:r>
    </w:p>
    <w:p>
      <w:pPr>
        <w:pStyle w:val="Heading1"/>
      </w:pPr>
      <w:r>
        <w:t>İmza ve ek kontrolü</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Ek-1 [●] • Ek-2 [●] • Ek-3 [●] • Ek-4 [●] • Ek-5 [●]</w:t>
            </w:r>
          </w:p>
        </w:tc>
      </w:tr>
    </w:tbl>
    <w:p>
      <w:pPr>
        <w:pStyle w:val="Heading1"/>
      </w:pPr>
      <w:r>
        <w:t>Hukuki dayanak ve güncellik notu</w:t>
      </w:r>
    </w:p>
    <w:p>
      <w:r>
        <w:t>Bu şablon hazırlanırken aşağıdaki resmî kaynaklar esas alınmıştır. Erişim tarihi: 20 Ağustos 2026. Mevzuat ve parasal sınırlar değişebileceğinden imza tarihinde yeniden kontrol edilmelidir.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pPr>
        <w:spacing w:before="80" w:after="40"/>
        <w:shd w:fill="F2F4F0"/>
        <w:pBdr>
          <w:left w:val="single" w:sz="18" w:space="8" w:color="96A984"/>
        </w:pBdr>
      </w:pPr>
      <w:r>
        <w:rPr>
          <w:rFonts w:ascii="Aptos" w:hAnsi="Aptos" w:eastAsia="Aptos"/>
          <w:b/>
          <w:color w:val="4D6765"/>
          <w:sz w:val="18"/>
        </w:rPr>
        <w:t>PEYSED KULLANIM ILKESI</w:t>
      </w:r>
    </w:p>
    <w:p>
      <w:pPr>
        <w:spacing w:before="0" w:after="160"/>
        <w:shd w:fill="F2F4F0"/>
        <w:pBdr>
          <w:left w:val="single" w:sz="18" w:space="8" w:color="96A984"/>
        </w:pBdr>
      </w:pPr>
      <w:r>
        <w:rPr>
          <w:rFonts w:ascii="Aptos" w:hAnsi="Aptos" w:eastAsia="Aptos"/>
          <w:color w:val="16211F"/>
          <w:sz w:val="20"/>
        </w:rPr>
        <w:t>Şablon ücretsiz bir sektör kılavuzudur. PEYSED taraf değildir; somut sözleşmenin hazırlanması, müzakere edilmesi ve uygulanmasından kullanıcılar sorumludur. Şablonun varlığı, proje ve keşif hizmetlerinin ücretsiz olduğu anlamına gelmez; kapsam ve ücret ayrı ve açık biçimde kararlaştırılmalıdır.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Peyzaj Uygulama Teknik Şartnamesi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